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E953F" w14:textId="66BB9EBC"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r w:rsidRPr="00335373">
        <w:rPr>
          <w:rFonts w:ascii="Times" w:hAnsi="Times" w:cs="Times"/>
          <w:b/>
          <w:bCs/>
          <w:color w:val="000000"/>
          <w:kern w:val="0"/>
          <w:lang w:val="en-US"/>
        </w:rPr>
        <w:t xml:space="preserve">Please type the title of your abstract for </w:t>
      </w:r>
      <w:proofErr w:type="spellStart"/>
      <w:r w:rsidR="008913D5">
        <w:rPr>
          <w:rFonts w:ascii="Times" w:hAnsi="Times" w:cs="Times"/>
          <w:b/>
          <w:bCs/>
          <w:color w:val="000000"/>
          <w:kern w:val="0"/>
          <w:lang w:val="en-US"/>
        </w:rPr>
        <w:t>Polysolvat</w:t>
      </w:r>
      <w:proofErr w:type="spellEnd"/>
      <w:r w:rsidR="008913D5">
        <w:rPr>
          <w:rFonts w:ascii="Times" w:hAnsi="Times" w:cs="Times"/>
          <w:b/>
          <w:bCs/>
          <w:color w:val="000000"/>
          <w:kern w:val="0"/>
          <w:lang w:val="en-US"/>
        </w:rPr>
        <w:t xml:space="preserve"> 16 at</w:t>
      </w:r>
      <w:r w:rsidRPr="00335373">
        <w:rPr>
          <w:rFonts w:ascii="Times" w:hAnsi="Times" w:cs="Times"/>
          <w:b/>
          <w:bCs/>
          <w:color w:val="000000"/>
          <w:kern w:val="0"/>
          <w:lang w:val="en-US"/>
        </w:rPr>
        <w:t xml:space="preserve"> JCNS Workshop 202</w:t>
      </w:r>
      <w:r w:rsidR="008913D5">
        <w:rPr>
          <w:rFonts w:ascii="Times" w:hAnsi="Times" w:cs="Times"/>
          <w:b/>
          <w:bCs/>
          <w:color w:val="000000"/>
          <w:kern w:val="0"/>
          <w:lang w:val="en-US"/>
        </w:rPr>
        <w:t>6</w:t>
      </w:r>
      <w:r w:rsidRPr="00335373">
        <w:rPr>
          <w:rFonts w:ascii="Times" w:hAnsi="Times" w:cs="Times"/>
          <w:b/>
          <w:bCs/>
          <w:color w:val="000000"/>
          <w:kern w:val="0"/>
          <w:lang w:val="en-US"/>
        </w:rPr>
        <w:t xml:space="preserve"> using a Times New Roman 12 font, single-spaced, bold, centered and in lower-case characters</w:t>
      </w:r>
    </w:p>
    <w:p w14:paraId="2A106E33" w14:textId="77777777"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r w:rsidRPr="00335373">
        <w:rPr>
          <w:rFonts w:ascii="Times" w:hAnsi="Times" w:cs="Times"/>
          <w:i/>
          <w:iCs/>
          <w:color w:val="000000"/>
          <w:kern w:val="0"/>
          <w:lang w:val="en-US"/>
        </w:rPr>
        <w:t>(1 blank line)</w:t>
      </w:r>
    </w:p>
    <w:p w14:paraId="53606BF9" w14:textId="77777777"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r w:rsidRPr="00335373">
        <w:rPr>
          <w:rFonts w:ascii="Times New Roman" w:hAnsi="Times New Roman" w:cs="Times New Roman"/>
          <w:color w:val="000000"/>
          <w:kern w:val="0"/>
          <w:lang w:val="en-US"/>
        </w:rPr>
        <w:t>First name FAMILY NAME</w:t>
      </w:r>
      <w:r w:rsidRPr="00335373">
        <w:rPr>
          <w:rFonts w:ascii="Times New Roman" w:hAnsi="Times New Roman" w:cs="Times New Roman"/>
          <w:color w:val="000000"/>
          <w:kern w:val="0"/>
          <w:sz w:val="16"/>
          <w:szCs w:val="16"/>
          <w:vertAlign w:val="superscript"/>
          <w:lang w:val="en-US"/>
        </w:rPr>
        <w:t>1</w:t>
      </w:r>
      <w:r w:rsidRPr="00335373">
        <w:rPr>
          <w:rFonts w:ascii="Times New Roman" w:hAnsi="Times New Roman" w:cs="Times New Roman"/>
          <w:color w:val="000000"/>
          <w:kern w:val="0"/>
          <w:lang w:val="en-US"/>
        </w:rPr>
        <w:t xml:space="preserve">, </w:t>
      </w:r>
      <w:r w:rsidRPr="00335373">
        <w:rPr>
          <w:rFonts w:ascii="Times" w:hAnsi="Times" w:cs="Times"/>
          <w:b/>
          <w:bCs/>
          <w:color w:val="000000"/>
          <w:kern w:val="0"/>
          <w:lang w:val="en-US"/>
        </w:rPr>
        <w:t>First name FAMILY NAME</w:t>
      </w:r>
      <w:r w:rsidRPr="00335373">
        <w:rPr>
          <w:rFonts w:ascii="Times" w:hAnsi="Times" w:cs="Times"/>
          <w:b/>
          <w:bCs/>
          <w:color w:val="000000"/>
          <w:kern w:val="0"/>
          <w:sz w:val="16"/>
          <w:szCs w:val="16"/>
          <w:vertAlign w:val="superscript"/>
          <w:lang w:val="en-US"/>
        </w:rPr>
        <w:t>2</w:t>
      </w:r>
      <w:r w:rsidRPr="00335373">
        <w:rPr>
          <w:rFonts w:ascii="Times New Roman" w:hAnsi="Times New Roman" w:cs="Times New Roman"/>
          <w:color w:val="000000"/>
          <w:kern w:val="0"/>
          <w:lang w:val="en-US"/>
        </w:rPr>
        <w:t>, First name FAMILY NAME</w:t>
      </w:r>
      <w:r w:rsidRPr="00335373">
        <w:rPr>
          <w:rFonts w:ascii="Times New Roman" w:hAnsi="Times New Roman" w:cs="Times New Roman"/>
          <w:color w:val="000000"/>
          <w:kern w:val="0"/>
          <w:sz w:val="16"/>
          <w:szCs w:val="16"/>
          <w:vertAlign w:val="superscript"/>
          <w:lang w:val="en-US"/>
        </w:rPr>
        <w:t>3</w:t>
      </w:r>
    </w:p>
    <w:p w14:paraId="351B1A4E" w14:textId="77777777"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r w:rsidRPr="00335373">
        <w:rPr>
          <w:rFonts w:ascii="Times" w:hAnsi="Times" w:cs="Times"/>
          <w:i/>
          <w:iCs/>
          <w:color w:val="000000"/>
          <w:kern w:val="0"/>
          <w:lang w:val="en-US"/>
        </w:rPr>
        <w:t>(2 blank lines)</w:t>
      </w:r>
    </w:p>
    <w:p w14:paraId="6BCCFCEC" w14:textId="77777777" w:rsidR="00335373" w:rsidRPr="00335373" w:rsidRDefault="00335373" w:rsidP="00335373">
      <w:pPr>
        <w:autoSpaceDE w:val="0"/>
        <w:autoSpaceDN w:val="0"/>
        <w:adjustRightInd w:val="0"/>
        <w:spacing w:after="120"/>
        <w:jc w:val="center"/>
        <w:rPr>
          <w:rFonts w:ascii="Times" w:hAnsi="Times" w:cs="Times"/>
          <w:i/>
          <w:iCs/>
          <w:color w:val="000000"/>
          <w:kern w:val="0"/>
          <w:lang w:val="en-US"/>
        </w:rPr>
      </w:pPr>
    </w:p>
    <w:p w14:paraId="320FDABA" w14:textId="77777777"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r w:rsidRPr="00335373">
        <w:rPr>
          <w:rFonts w:ascii="Times New Roman" w:hAnsi="Times New Roman" w:cs="Times New Roman"/>
          <w:color w:val="000000"/>
          <w:kern w:val="0"/>
          <w:sz w:val="16"/>
          <w:szCs w:val="16"/>
          <w:vertAlign w:val="superscript"/>
          <w:lang w:val="en-US"/>
        </w:rPr>
        <w:t>1</w:t>
      </w:r>
      <w:r w:rsidRPr="00335373">
        <w:rPr>
          <w:rFonts w:ascii="Times New Roman" w:hAnsi="Times New Roman" w:cs="Times New Roman"/>
          <w:color w:val="000000"/>
          <w:kern w:val="0"/>
          <w:lang w:val="en-US"/>
        </w:rPr>
        <w:t>Address1 (Institute or University, Laboratory, City, Country)</w:t>
      </w:r>
    </w:p>
    <w:p w14:paraId="2546E81D" w14:textId="77777777"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r w:rsidRPr="00335373">
        <w:rPr>
          <w:rFonts w:ascii="Times New Roman" w:hAnsi="Times New Roman" w:cs="Times New Roman"/>
          <w:color w:val="000000"/>
          <w:kern w:val="0"/>
          <w:sz w:val="16"/>
          <w:szCs w:val="16"/>
          <w:vertAlign w:val="superscript"/>
          <w:lang w:val="en-US"/>
        </w:rPr>
        <w:t>2</w:t>
      </w:r>
      <w:r w:rsidRPr="00335373">
        <w:rPr>
          <w:rFonts w:ascii="Times New Roman" w:hAnsi="Times New Roman" w:cs="Times New Roman"/>
          <w:color w:val="000000"/>
          <w:kern w:val="0"/>
          <w:lang w:val="en-US"/>
        </w:rPr>
        <w:t>Address2 (Institute or University, Laboratory, City, Country)</w:t>
      </w:r>
    </w:p>
    <w:p w14:paraId="2C437282" w14:textId="77777777"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r w:rsidRPr="00335373">
        <w:rPr>
          <w:rFonts w:ascii="Times New Roman" w:hAnsi="Times New Roman" w:cs="Times New Roman"/>
          <w:color w:val="000000"/>
          <w:kern w:val="0"/>
          <w:sz w:val="16"/>
          <w:szCs w:val="16"/>
          <w:vertAlign w:val="superscript"/>
          <w:lang w:val="en-US"/>
        </w:rPr>
        <w:t>3</w:t>
      </w:r>
      <w:r w:rsidRPr="00335373">
        <w:rPr>
          <w:rFonts w:ascii="Times New Roman" w:hAnsi="Times New Roman" w:cs="Times New Roman"/>
          <w:color w:val="000000"/>
          <w:kern w:val="0"/>
          <w:lang w:val="en-US"/>
        </w:rPr>
        <w:t>Address3 (Institute or University, Laboratory, City, Country)</w:t>
      </w:r>
    </w:p>
    <w:p w14:paraId="328CB421" w14:textId="77777777"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r w:rsidRPr="00335373">
        <w:rPr>
          <w:rFonts w:ascii="Times" w:hAnsi="Times" w:cs="Times"/>
          <w:i/>
          <w:iCs/>
          <w:color w:val="000000"/>
          <w:kern w:val="0"/>
          <w:lang w:val="en-US"/>
        </w:rPr>
        <w:t>(2 blank lines)</w:t>
      </w:r>
    </w:p>
    <w:p w14:paraId="5AE713BA" w14:textId="77777777" w:rsidR="00335373" w:rsidRPr="00335373" w:rsidRDefault="00335373" w:rsidP="00335373">
      <w:pPr>
        <w:autoSpaceDE w:val="0"/>
        <w:autoSpaceDN w:val="0"/>
        <w:adjustRightInd w:val="0"/>
        <w:spacing w:after="120"/>
        <w:jc w:val="center"/>
        <w:rPr>
          <w:rFonts w:ascii="Times" w:hAnsi="Times" w:cs="Times"/>
          <w:i/>
          <w:iCs/>
          <w:color w:val="000000"/>
          <w:kern w:val="0"/>
          <w:lang w:val="en-US"/>
        </w:rPr>
      </w:pPr>
    </w:p>
    <w:p w14:paraId="6DECBA2F" w14:textId="77777777" w:rsidR="00335373" w:rsidRPr="00335373" w:rsidRDefault="00335373" w:rsidP="00335373">
      <w:pPr>
        <w:autoSpaceDE w:val="0"/>
        <w:autoSpaceDN w:val="0"/>
        <w:adjustRightInd w:val="0"/>
        <w:spacing w:after="120"/>
        <w:jc w:val="both"/>
        <w:rPr>
          <w:rFonts w:ascii="Times New Roman" w:hAnsi="Times New Roman" w:cs="Times New Roman"/>
          <w:color w:val="000000"/>
          <w:kern w:val="0"/>
          <w:lang w:val="en-US"/>
        </w:rPr>
      </w:pPr>
      <w:r w:rsidRPr="00335373">
        <w:rPr>
          <w:rFonts w:ascii="Times New Roman" w:hAnsi="Times New Roman" w:cs="Times New Roman"/>
          <w:color w:val="000000"/>
          <w:kern w:val="0"/>
          <w:lang w:val="en-US"/>
        </w:rPr>
        <w:t xml:space="preserve">Please type the author list and their affiliation with a “Time 12” font, single-spaced and centered. The name of the presenting author should be in </w:t>
      </w:r>
      <w:r w:rsidRPr="00335373">
        <w:rPr>
          <w:rFonts w:ascii="Times" w:hAnsi="Times" w:cs="Times"/>
          <w:b/>
          <w:bCs/>
          <w:color w:val="000000"/>
          <w:kern w:val="0"/>
          <w:lang w:val="en-US"/>
        </w:rPr>
        <w:t>bold</w:t>
      </w:r>
      <w:r w:rsidRPr="00335373">
        <w:rPr>
          <w:rFonts w:ascii="Times New Roman" w:hAnsi="Times New Roman" w:cs="Times New Roman"/>
          <w:color w:val="000000"/>
          <w:kern w:val="0"/>
          <w:lang w:val="en-US"/>
        </w:rPr>
        <w:t>.</w:t>
      </w:r>
    </w:p>
    <w:p w14:paraId="2DAF8154" w14:textId="77777777" w:rsidR="00335373" w:rsidRPr="00335373" w:rsidRDefault="00335373" w:rsidP="00335373">
      <w:pPr>
        <w:autoSpaceDE w:val="0"/>
        <w:autoSpaceDN w:val="0"/>
        <w:adjustRightInd w:val="0"/>
        <w:spacing w:after="120"/>
        <w:jc w:val="both"/>
        <w:rPr>
          <w:rFonts w:ascii="Times New Roman" w:hAnsi="Times New Roman" w:cs="Times New Roman"/>
          <w:color w:val="000000"/>
          <w:kern w:val="0"/>
          <w:lang w:val="en-US"/>
        </w:rPr>
      </w:pPr>
      <w:r w:rsidRPr="00335373">
        <w:rPr>
          <w:rFonts w:ascii="Times New Roman" w:hAnsi="Times New Roman" w:cs="Times New Roman"/>
          <w:color w:val="000000"/>
          <w:kern w:val="0"/>
          <w:lang w:val="en-US"/>
        </w:rPr>
        <w:t>Please type the text of your abstract single-spaced, justified with a "Time 12" font. Use A4 format and margins of 2.5 cm. Do not use color. No figures including photos or diagrams are allowed. Do not indent paragraphs. No blank lines between paragraphs. Any references should appear in the text in Arabic numeral between hooks [1] and should be quoted according to the model below. Footnotes should be avoided.</w:t>
      </w:r>
    </w:p>
    <w:p w14:paraId="41014EB4" w14:textId="77777777" w:rsidR="00335373" w:rsidRPr="00335373" w:rsidRDefault="00335373" w:rsidP="00335373">
      <w:pPr>
        <w:autoSpaceDE w:val="0"/>
        <w:autoSpaceDN w:val="0"/>
        <w:adjustRightInd w:val="0"/>
        <w:spacing w:after="120"/>
        <w:jc w:val="both"/>
        <w:rPr>
          <w:rFonts w:ascii="Times New Roman" w:hAnsi="Times New Roman" w:cs="Times New Roman"/>
          <w:color w:val="000000"/>
          <w:kern w:val="0"/>
          <w:lang w:val="en-US"/>
        </w:rPr>
      </w:pPr>
      <w:r w:rsidRPr="00335373">
        <w:rPr>
          <w:rFonts w:ascii="Times New Roman" w:hAnsi="Times New Roman" w:cs="Times New Roman"/>
          <w:color w:val="000000"/>
          <w:kern w:val="0"/>
          <w:lang w:val="en-US"/>
        </w:rPr>
        <w:t>The total length of your abstract should not exceed one page. All abstracts not respecting this format will be rejected; all accepted abstracts will be used “as submitted” (photo-ready) for the abstract booklet.</w:t>
      </w:r>
    </w:p>
    <w:p w14:paraId="6A352B66" w14:textId="77777777"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r w:rsidRPr="00335373">
        <w:rPr>
          <w:rFonts w:ascii="Times" w:hAnsi="Times" w:cs="Times"/>
          <w:i/>
          <w:iCs/>
          <w:color w:val="000000"/>
          <w:kern w:val="0"/>
          <w:lang w:val="en-US"/>
        </w:rPr>
        <w:t xml:space="preserve"> (1 blank line)</w:t>
      </w:r>
    </w:p>
    <w:p w14:paraId="14CEEA5C" w14:textId="77777777" w:rsidR="00335373" w:rsidRPr="00335373" w:rsidRDefault="00335373" w:rsidP="00335373">
      <w:pPr>
        <w:autoSpaceDE w:val="0"/>
        <w:autoSpaceDN w:val="0"/>
        <w:adjustRightInd w:val="0"/>
        <w:spacing w:after="120"/>
        <w:jc w:val="both"/>
        <w:rPr>
          <w:rFonts w:ascii="Times New Roman" w:hAnsi="Times New Roman" w:cs="Times New Roman"/>
          <w:color w:val="000000"/>
          <w:kern w:val="0"/>
          <w:lang w:val="en-US"/>
        </w:rPr>
      </w:pPr>
      <w:r w:rsidRPr="00335373">
        <w:rPr>
          <w:rFonts w:ascii="Times New Roman" w:hAnsi="Times New Roman" w:cs="Times New Roman"/>
          <w:color w:val="000000"/>
          <w:kern w:val="0"/>
          <w:lang w:val="en-US"/>
        </w:rPr>
        <w:t xml:space="preserve">[1] A. Author, Journal, </w:t>
      </w:r>
      <w:r w:rsidRPr="00335373">
        <w:rPr>
          <w:rFonts w:ascii="Times" w:hAnsi="Times" w:cs="Times"/>
          <w:b/>
          <w:bCs/>
          <w:color w:val="000000"/>
          <w:kern w:val="0"/>
          <w:lang w:val="en-US"/>
        </w:rPr>
        <w:t>volume</w:t>
      </w:r>
      <w:r w:rsidRPr="00335373">
        <w:rPr>
          <w:rFonts w:ascii="Times New Roman" w:hAnsi="Times New Roman" w:cs="Times New Roman"/>
          <w:color w:val="000000"/>
          <w:kern w:val="0"/>
          <w:lang w:val="en-US"/>
        </w:rPr>
        <w:t>, page (year).</w:t>
      </w:r>
    </w:p>
    <w:p w14:paraId="61017A07" w14:textId="77777777"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r w:rsidRPr="00335373">
        <w:rPr>
          <w:rFonts w:ascii="Times" w:hAnsi="Times" w:cs="Times"/>
          <w:i/>
          <w:iCs/>
          <w:color w:val="000000"/>
          <w:kern w:val="0"/>
          <w:lang w:val="en-US"/>
        </w:rPr>
        <w:t>(1 blank line)</w:t>
      </w:r>
    </w:p>
    <w:p w14:paraId="10B337A3" w14:textId="77777777" w:rsidR="00335373" w:rsidRPr="00335373" w:rsidRDefault="00335373" w:rsidP="00335373">
      <w:pPr>
        <w:autoSpaceDE w:val="0"/>
        <w:autoSpaceDN w:val="0"/>
        <w:adjustRightInd w:val="0"/>
        <w:jc w:val="both"/>
        <w:rPr>
          <w:rFonts w:ascii="Times New Roman" w:hAnsi="Times New Roman" w:cs="Times New Roman"/>
          <w:color w:val="000000"/>
          <w:kern w:val="0"/>
          <w:lang w:val="en-US"/>
        </w:rPr>
      </w:pPr>
      <w:r w:rsidRPr="00335373">
        <w:rPr>
          <w:rFonts w:ascii="Times New Roman" w:hAnsi="Times New Roman" w:cs="Times New Roman"/>
          <w:color w:val="000000"/>
          <w:kern w:val="0"/>
          <w:lang w:val="en-US"/>
        </w:rPr>
        <w:t>E-mail of the corresponding author:</w:t>
      </w:r>
    </w:p>
    <w:p w14:paraId="466A1A91" w14:textId="0C4879C6" w:rsidR="005F3E4F" w:rsidRDefault="005F3E4F">
      <w:pPr>
        <w:rPr>
          <w:lang w:val="en-US"/>
        </w:rPr>
      </w:pPr>
      <w:r>
        <w:rPr>
          <w:lang w:val="en-US"/>
        </w:rPr>
        <w:br w:type="page"/>
      </w:r>
    </w:p>
    <w:p w14:paraId="7FB1ECA4" w14:textId="3721FA4D" w:rsidR="005F3E4F" w:rsidRDefault="005F3E4F" w:rsidP="005F3E4F">
      <w:pPr>
        <w:autoSpaceDE w:val="0"/>
        <w:autoSpaceDN w:val="0"/>
        <w:adjustRightInd w:val="0"/>
        <w:spacing w:after="120"/>
        <w:jc w:val="center"/>
        <w:rPr>
          <w:rFonts w:ascii="Times" w:hAnsi="Times" w:cs="Times"/>
          <w:b/>
          <w:bCs/>
          <w:color w:val="000000"/>
          <w:kern w:val="0"/>
          <w:lang w:val="en-US"/>
        </w:rPr>
      </w:pPr>
      <w:r w:rsidRPr="005F3E4F">
        <w:rPr>
          <w:rFonts w:ascii="Times" w:hAnsi="Times" w:cs="Times"/>
          <w:b/>
          <w:bCs/>
          <w:color w:val="000000"/>
          <w:kern w:val="0"/>
          <w:lang w:val="en-US"/>
        </w:rPr>
        <w:lastRenderedPageBreak/>
        <w:t>Self-assembly</w:t>
      </w:r>
      <w:r w:rsidRPr="005F3E4F">
        <w:rPr>
          <w:rFonts w:ascii="Times" w:hAnsi="Times" w:cs="Times"/>
          <w:b/>
          <w:bCs/>
          <w:color w:val="000000"/>
          <w:kern w:val="0"/>
          <w:lang w:val="en-US"/>
        </w:rPr>
        <w:t xml:space="preserve"> of colloid molecular with polyelectrolyte model</w:t>
      </w:r>
      <w:r w:rsidRPr="005F3E4F">
        <w:rPr>
          <w:rFonts w:ascii="Times" w:hAnsi="Times" w:cs="Times"/>
          <w:b/>
          <w:bCs/>
          <w:color w:val="000000"/>
          <w:kern w:val="0"/>
          <w:lang w:val="en-US"/>
        </w:rPr>
        <w:t xml:space="preserve"> </w:t>
      </w:r>
    </w:p>
    <w:p w14:paraId="1D526E88" w14:textId="77777777" w:rsidR="005F3E4F" w:rsidRDefault="005F3E4F" w:rsidP="005F3E4F">
      <w:pPr>
        <w:autoSpaceDE w:val="0"/>
        <w:autoSpaceDN w:val="0"/>
        <w:adjustRightInd w:val="0"/>
        <w:spacing w:after="120"/>
        <w:jc w:val="center"/>
        <w:rPr>
          <w:rFonts w:ascii="Times" w:hAnsi="Times" w:cs="Times"/>
          <w:b/>
          <w:bCs/>
          <w:color w:val="000000"/>
          <w:kern w:val="0"/>
          <w:lang w:val="en-US"/>
        </w:rPr>
      </w:pPr>
    </w:p>
    <w:p w14:paraId="70A3020C" w14:textId="57DB485B" w:rsidR="005F3E4F" w:rsidRPr="005F3E4F" w:rsidRDefault="005F3E4F" w:rsidP="005F3E4F">
      <w:pPr>
        <w:autoSpaceDE w:val="0"/>
        <w:autoSpaceDN w:val="0"/>
        <w:adjustRightInd w:val="0"/>
        <w:spacing w:after="120"/>
        <w:jc w:val="center"/>
        <w:rPr>
          <w:rFonts w:ascii="Times New Roman" w:hAnsi="Times New Roman" w:cs="Times New Roman"/>
          <w:color w:val="000000"/>
          <w:kern w:val="0"/>
          <w:lang w:val="en-US"/>
        </w:rPr>
      </w:pPr>
      <w:r w:rsidRPr="005F3E4F">
        <w:rPr>
          <w:rFonts w:ascii="Times New Roman" w:hAnsi="Times New Roman" w:cs="Times New Roman"/>
          <w:b/>
          <w:bCs/>
          <w:color w:val="000000"/>
          <w:kern w:val="0"/>
          <w:lang w:val="en-US"/>
        </w:rPr>
        <w:t>Gaëlle LIVOLANT</w:t>
      </w:r>
      <w:r w:rsidRPr="005F3E4F">
        <w:rPr>
          <w:rFonts w:ascii="Times New Roman" w:hAnsi="Times New Roman" w:cs="Times New Roman"/>
          <w:b/>
          <w:bCs/>
          <w:color w:val="000000"/>
          <w:kern w:val="0"/>
          <w:sz w:val="16"/>
          <w:szCs w:val="16"/>
          <w:vertAlign w:val="superscript"/>
          <w:lang w:val="en-US"/>
        </w:rPr>
        <w:t>1</w:t>
      </w:r>
      <w:r w:rsidRPr="005F3E4F">
        <w:rPr>
          <w:rFonts w:ascii="Times New Roman" w:hAnsi="Times New Roman" w:cs="Times New Roman"/>
          <w:color w:val="000000"/>
          <w:kern w:val="0"/>
          <w:lang w:val="en-US"/>
        </w:rPr>
        <w:t xml:space="preserve">, </w:t>
      </w:r>
      <w:r w:rsidRPr="005F3E4F">
        <w:rPr>
          <w:rFonts w:ascii="Times" w:hAnsi="Times" w:cs="Times"/>
          <w:color w:val="000000"/>
          <w:kern w:val="0"/>
          <w:lang w:val="en-US"/>
        </w:rPr>
        <w:t>Lingsam TEA</w:t>
      </w:r>
      <w:r w:rsidRPr="005F3E4F">
        <w:rPr>
          <w:rFonts w:ascii="Times New Roman" w:hAnsi="Times New Roman" w:cs="Times New Roman"/>
          <w:color w:val="000000"/>
          <w:kern w:val="0"/>
          <w:sz w:val="16"/>
          <w:szCs w:val="16"/>
          <w:vertAlign w:val="superscript"/>
          <w:lang w:val="en-US"/>
        </w:rPr>
        <w:t>1</w:t>
      </w:r>
      <w:r w:rsidRPr="005F3E4F">
        <w:rPr>
          <w:rFonts w:ascii="Times New Roman" w:hAnsi="Times New Roman" w:cs="Times New Roman"/>
          <w:color w:val="000000"/>
          <w:kern w:val="0"/>
          <w:lang w:val="en-US"/>
        </w:rPr>
        <w:t>,</w:t>
      </w:r>
      <w:r w:rsidRPr="005F3E4F">
        <w:rPr>
          <w:rFonts w:ascii="Times New Roman" w:hAnsi="Times New Roman" w:cs="Times New Roman"/>
          <w:color w:val="000000"/>
          <w:kern w:val="0"/>
          <w:lang w:val="en-US"/>
        </w:rPr>
        <w:t xml:space="preserve"> Natalie MALIVOKA</w:t>
      </w:r>
      <w:r w:rsidRPr="005F3E4F">
        <w:rPr>
          <w:rFonts w:ascii="Times New Roman" w:hAnsi="Times New Roman" w:cs="Times New Roman"/>
          <w:color w:val="000000"/>
          <w:kern w:val="0"/>
          <w:sz w:val="16"/>
          <w:szCs w:val="16"/>
          <w:vertAlign w:val="superscript"/>
          <w:lang w:val="en-US"/>
        </w:rPr>
        <w:t>1</w:t>
      </w:r>
      <w:r w:rsidRPr="005F3E4F">
        <w:rPr>
          <w:rFonts w:ascii="Times New Roman" w:hAnsi="Times New Roman" w:cs="Times New Roman"/>
          <w:color w:val="000000"/>
          <w:kern w:val="0"/>
          <w:sz w:val="16"/>
          <w:szCs w:val="16"/>
          <w:lang w:val="en-US"/>
        </w:rPr>
        <w:t xml:space="preserve">, </w:t>
      </w:r>
      <w:r w:rsidRPr="005F3E4F">
        <w:rPr>
          <w:rFonts w:ascii="Times New Roman" w:hAnsi="Times New Roman" w:cs="Times New Roman"/>
          <w:color w:val="000000"/>
          <w:kern w:val="0"/>
          <w:lang w:val="en-US"/>
        </w:rPr>
        <w:t>Nicolas JOUAULT</w:t>
      </w:r>
      <w:r w:rsidRPr="00335373">
        <w:rPr>
          <w:rFonts w:ascii="Times New Roman" w:hAnsi="Times New Roman" w:cs="Times New Roman"/>
          <w:color w:val="000000"/>
          <w:kern w:val="0"/>
          <w:sz w:val="16"/>
          <w:szCs w:val="16"/>
          <w:vertAlign w:val="superscript"/>
          <w:lang w:val="en-US"/>
        </w:rPr>
        <w:t>1</w:t>
      </w:r>
    </w:p>
    <w:p w14:paraId="67835C98" w14:textId="77777777" w:rsidR="005F3E4F" w:rsidRDefault="005F3E4F" w:rsidP="005F3E4F">
      <w:pPr>
        <w:autoSpaceDE w:val="0"/>
        <w:autoSpaceDN w:val="0"/>
        <w:adjustRightInd w:val="0"/>
        <w:spacing w:after="120"/>
        <w:jc w:val="center"/>
        <w:rPr>
          <w:rFonts w:ascii="Times" w:hAnsi="Times" w:cs="Times"/>
          <w:i/>
          <w:iCs/>
          <w:color w:val="000000"/>
          <w:kern w:val="0"/>
          <w:lang w:val="en-US"/>
        </w:rPr>
      </w:pPr>
    </w:p>
    <w:p w14:paraId="52920C57" w14:textId="77777777" w:rsidR="005F3E4F" w:rsidRPr="00335373" w:rsidRDefault="005F3E4F" w:rsidP="005F3E4F">
      <w:pPr>
        <w:autoSpaceDE w:val="0"/>
        <w:autoSpaceDN w:val="0"/>
        <w:adjustRightInd w:val="0"/>
        <w:spacing w:after="120"/>
        <w:jc w:val="center"/>
        <w:rPr>
          <w:rFonts w:ascii="Times" w:hAnsi="Times" w:cs="Times"/>
          <w:i/>
          <w:iCs/>
          <w:color w:val="000000"/>
          <w:kern w:val="0"/>
          <w:lang w:val="en-US"/>
        </w:rPr>
      </w:pPr>
    </w:p>
    <w:p w14:paraId="35841706" w14:textId="788B3900" w:rsidR="005F3E4F" w:rsidRPr="00386BB3" w:rsidRDefault="005F3E4F" w:rsidP="005F3E4F">
      <w:pPr>
        <w:autoSpaceDE w:val="0"/>
        <w:autoSpaceDN w:val="0"/>
        <w:adjustRightInd w:val="0"/>
        <w:spacing w:after="120"/>
        <w:jc w:val="center"/>
        <w:rPr>
          <w:rFonts w:ascii="Times New Roman" w:hAnsi="Times New Roman" w:cs="Times New Roman"/>
          <w:color w:val="000000"/>
          <w:kern w:val="0"/>
          <w:lang w:val="fr-FR"/>
        </w:rPr>
      </w:pPr>
      <w:r w:rsidRPr="00386BB3">
        <w:rPr>
          <w:rFonts w:ascii="Times New Roman" w:hAnsi="Times New Roman" w:cs="Times New Roman"/>
          <w:color w:val="000000"/>
          <w:kern w:val="0"/>
          <w:sz w:val="16"/>
          <w:szCs w:val="16"/>
          <w:vertAlign w:val="superscript"/>
          <w:lang w:val="fr-FR"/>
        </w:rPr>
        <w:t>1</w:t>
      </w:r>
      <w:r w:rsidRPr="00386BB3">
        <w:rPr>
          <w:rFonts w:ascii="Times New Roman" w:hAnsi="Times New Roman" w:cs="Times New Roman"/>
          <w:color w:val="000000"/>
          <w:kern w:val="0"/>
          <w:lang w:val="fr-FR"/>
        </w:rPr>
        <w:t xml:space="preserve">Sorbonne </w:t>
      </w:r>
      <w:proofErr w:type="spellStart"/>
      <w:r w:rsidRPr="00386BB3">
        <w:rPr>
          <w:rFonts w:ascii="Times New Roman" w:hAnsi="Times New Roman" w:cs="Times New Roman"/>
          <w:color w:val="000000"/>
          <w:kern w:val="0"/>
          <w:lang w:val="fr-FR"/>
        </w:rPr>
        <w:t>University</w:t>
      </w:r>
      <w:proofErr w:type="spellEnd"/>
      <w:r w:rsidRPr="00386BB3">
        <w:rPr>
          <w:rFonts w:ascii="Times New Roman" w:hAnsi="Times New Roman" w:cs="Times New Roman"/>
          <w:color w:val="000000"/>
          <w:kern w:val="0"/>
          <w:lang w:val="fr-FR"/>
        </w:rPr>
        <w:t xml:space="preserve">, </w:t>
      </w:r>
      <w:r w:rsidR="00386BB3" w:rsidRPr="00386BB3">
        <w:rPr>
          <w:rFonts w:ascii="Times New Roman" w:hAnsi="Times New Roman" w:cs="Times New Roman"/>
          <w:color w:val="000000"/>
          <w:kern w:val="0"/>
          <w:lang w:val="fr-FR"/>
        </w:rPr>
        <w:t xml:space="preserve">Physico-Chimie des Électrolytes et des </w:t>
      </w:r>
      <w:proofErr w:type="spellStart"/>
      <w:r w:rsidR="00386BB3" w:rsidRPr="00386BB3">
        <w:rPr>
          <w:rFonts w:ascii="Times New Roman" w:hAnsi="Times New Roman" w:cs="Times New Roman"/>
          <w:color w:val="000000"/>
          <w:kern w:val="0"/>
          <w:lang w:val="fr-FR"/>
        </w:rPr>
        <w:t>Nanosystème</w:t>
      </w:r>
      <w:proofErr w:type="spellEnd"/>
      <w:r w:rsidR="00386BB3" w:rsidRPr="00386BB3">
        <w:rPr>
          <w:rFonts w:ascii="Times New Roman" w:hAnsi="Times New Roman" w:cs="Times New Roman"/>
          <w:color w:val="000000"/>
          <w:kern w:val="0"/>
          <w:lang w:val="fr-FR"/>
        </w:rPr>
        <w:t xml:space="preserve"> Interfaciaux</w:t>
      </w:r>
      <w:r w:rsidR="00386BB3">
        <w:rPr>
          <w:rFonts w:ascii="Times New Roman" w:hAnsi="Times New Roman" w:cs="Times New Roman"/>
          <w:color w:val="000000"/>
          <w:kern w:val="0"/>
          <w:lang w:val="fr-FR"/>
        </w:rPr>
        <w:t xml:space="preserve"> (PHENIX)</w:t>
      </w:r>
      <w:r w:rsidR="00386BB3" w:rsidRPr="00386BB3">
        <w:rPr>
          <w:rFonts w:ascii="Times New Roman" w:hAnsi="Times New Roman" w:cs="Times New Roman"/>
          <w:color w:val="000000"/>
          <w:kern w:val="0"/>
          <w:lang w:val="fr-FR"/>
        </w:rPr>
        <w:t xml:space="preserve">, UMR 8234, 4 place Jussieu, 75252 Paris, </w:t>
      </w:r>
      <w:r w:rsidRPr="00386BB3">
        <w:rPr>
          <w:rFonts w:ascii="Times New Roman" w:hAnsi="Times New Roman" w:cs="Times New Roman"/>
          <w:color w:val="000000"/>
          <w:kern w:val="0"/>
          <w:lang w:val="fr-FR"/>
        </w:rPr>
        <w:t>France</w:t>
      </w:r>
      <w:r w:rsidRPr="00386BB3">
        <w:rPr>
          <w:rFonts w:ascii="Times New Roman" w:hAnsi="Times New Roman" w:cs="Times New Roman"/>
          <w:color w:val="000000"/>
          <w:kern w:val="0"/>
          <w:lang w:val="fr-FR"/>
        </w:rPr>
        <w:t xml:space="preserve"> </w:t>
      </w:r>
    </w:p>
    <w:p w14:paraId="7553E504" w14:textId="77777777" w:rsidR="005F3E4F" w:rsidRPr="00386BB3" w:rsidRDefault="005F3E4F" w:rsidP="005F3E4F">
      <w:pPr>
        <w:autoSpaceDE w:val="0"/>
        <w:autoSpaceDN w:val="0"/>
        <w:adjustRightInd w:val="0"/>
        <w:spacing w:after="120"/>
        <w:jc w:val="center"/>
        <w:rPr>
          <w:rFonts w:ascii="Times" w:hAnsi="Times" w:cs="Times"/>
          <w:i/>
          <w:iCs/>
          <w:color w:val="000000"/>
          <w:kern w:val="0"/>
          <w:lang w:val="fr-FR"/>
        </w:rPr>
      </w:pPr>
    </w:p>
    <w:p w14:paraId="697C2A87" w14:textId="77777777" w:rsidR="005F3E4F" w:rsidRPr="00386BB3" w:rsidRDefault="005F3E4F" w:rsidP="005F3E4F">
      <w:pPr>
        <w:autoSpaceDE w:val="0"/>
        <w:autoSpaceDN w:val="0"/>
        <w:adjustRightInd w:val="0"/>
        <w:spacing w:after="120"/>
        <w:jc w:val="center"/>
        <w:rPr>
          <w:rFonts w:ascii="Times" w:hAnsi="Times" w:cs="Times"/>
          <w:i/>
          <w:iCs/>
          <w:color w:val="000000"/>
          <w:kern w:val="0"/>
          <w:lang w:val="fr-FR"/>
        </w:rPr>
      </w:pPr>
    </w:p>
    <w:p w14:paraId="2F63693D" w14:textId="4043AD80" w:rsidR="00EB40A4" w:rsidRPr="00BD62AD" w:rsidRDefault="00F3397E" w:rsidP="00F3397E">
      <w:pPr>
        <w:autoSpaceDE w:val="0"/>
        <w:autoSpaceDN w:val="0"/>
        <w:adjustRightInd w:val="0"/>
        <w:spacing w:after="120"/>
        <w:jc w:val="both"/>
        <w:rPr>
          <w:rFonts w:ascii="Times New Roman" w:hAnsi="Times New Roman" w:cs="Times New Roman"/>
          <w:color w:val="4472C4" w:themeColor="accent1"/>
          <w:kern w:val="0"/>
          <w:lang w:val="en-US"/>
        </w:rPr>
      </w:pPr>
      <w:r w:rsidRPr="00F3397E">
        <w:rPr>
          <w:rFonts w:ascii="Times New Roman" w:hAnsi="Times New Roman" w:cs="Times New Roman"/>
          <w:color w:val="000000"/>
          <w:kern w:val="0"/>
          <w:lang w:val="en-US"/>
        </w:rPr>
        <w:t xml:space="preserve">Polyhedral oligomeric </w:t>
      </w:r>
      <w:proofErr w:type="spellStart"/>
      <w:r w:rsidRPr="00F3397E">
        <w:rPr>
          <w:rFonts w:ascii="Times New Roman" w:hAnsi="Times New Roman" w:cs="Times New Roman"/>
          <w:color w:val="000000"/>
          <w:kern w:val="0"/>
          <w:lang w:val="en-US"/>
        </w:rPr>
        <w:t>silsesquioxanes</w:t>
      </w:r>
      <w:proofErr w:type="spellEnd"/>
      <w:r w:rsidRPr="00F3397E">
        <w:rPr>
          <w:rFonts w:ascii="Times New Roman" w:hAnsi="Times New Roman" w:cs="Times New Roman"/>
          <w:color w:val="000000"/>
          <w:kern w:val="0"/>
          <w:lang w:val="en-US"/>
        </w:rPr>
        <w:t xml:space="preserve"> (POSS) are molecular colloids with a size range of 1–3 nm, occupying an intermediate space between ions and nanoparticles. Their properties in solution can be tuned via the nature and length of the pendant groups. This tunability makes POSS ideal for studying their interactions in aqueous environment to form self-assemblies of positively and negatively charged POSS with flexible and semi-flexible polyelectrolytes (PEs)</w:t>
      </w:r>
      <w:r w:rsidR="00EB40A4">
        <w:rPr>
          <w:rFonts w:ascii="Times New Roman" w:hAnsi="Times New Roman" w:cs="Times New Roman"/>
          <w:color w:val="000000"/>
          <w:kern w:val="0"/>
          <w:lang w:val="en-US"/>
        </w:rPr>
        <w:t>.</w:t>
      </w:r>
      <w:r w:rsidRPr="00F3397E">
        <w:rPr>
          <w:rFonts w:ascii="Times New Roman" w:hAnsi="Times New Roman" w:cs="Times New Roman"/>
          <w:color w:val="000000"/>
          <w:kern w:val="0"/>
          <w:lang w:val="en-US"/>
        </w:rPr>
        <w:t xml:space="preserve"> Previous research had mentioned complexes with </w:t>
      </w:r>
      <w:proofErr w:type="spellStart"/>
      <w:r w:rsidRPr="00F3397E">
        <w:rPr>
          <w:rFonts w:ascii="Times New Roman" w:hAnsi="Times New Roman" w:cs="Times New Roman"/>
          <w:color w:val="000000"/>
          <w:kern w:val="0"/>
          <w:lang w:val="en-US"/>
        </w:rPr>
        <w:t>nanoparticules</w:t>
      </w:r>
      <w:proofErr w:type="spellEnd"/>
      <w:r w:rsidR="005855B5">
        <w:rPr>
          <w:rFonts w:ascii="Times New Roman" w:hAnsi="Times New Roman" w:cs="Times New Roman"/>
          <w:color w:val="000000"/>
          <w:kern w:val="0"/>
          <w:lang w:val="en-US"/>
        </w:rPr>
        <w:fldChar w:fldCharType="begin"/>
      </w:r>
      <w:r w:rsidR="005855B5">
        <w:rPr>
          <w:rFonts w:ascii="Times New Roman" w:hAnsi="Times New Roman" w:cs="Times New Roman"/>
          <w:color w:val="000000"/>
          <w:kern w:val="0"/>
          <w:lang w:val="en-US"/>
        </w:rPr>
        <w:instrText xml:space="preserve"> ADDIN ZOTERO_ITEM CSL_CITATION {"citationID":"C4itDQwd","properties":{"unsorted":false,"formattedCitation":"[1]","plainCitation":"[1]","noteIndex":0},"citationItems":[{"id":298,"uris":["http://zotero.org/users/15628629/items/765ZF2PE"],"itemData":{"id":298,"type":"article-journal","abstract":"Small-angle neutron scattering (SANS) measurements of syndiotactic s-PMMA polymers mixed with weakly attractive 1.0 nm diameter polyhedral oligomeric silsesquioxane (POSS) nanoparticles (NPs) show no observable changes in the chain radius of gyration Rg, regardless of the polymer molecular weights, the amount of residual solvent, or the POSS NP loading and dispersion (from 0 to 20 vol %). In retrospect, these results are not surprising since scaling arguments imply that chain size in the concentrated region of the phase diagram of a polymer solution is ideal and independent of the polymer volume fraction ϕ, and only as the semidilute region is entered with decreasing concentration does the chain size for a good solvent begin to increase due to polymer excluded volume and then scales with concentration as ϕ−1/8. For typical polymer nanocomposites the NP concentrations are less than 50% v/v, so the polymers are still generally within the concentrated regions of their phase diagrams, where ideal chain conformations are observed for small molecule solvents. By combining the present results with previous results from the literature, we conclude that spherical NPs apparently have little eﬀect on the conformations of polymer chains, especially in typical polymer nanocomposites that only incorporate moderate amounts of NPs.","container-title":"Macromolecules","DOI":"10.1021/acs.macromol.8b00432","ISSN":"0024-9297, 1520-5835","issue":"14","journalAbbreviation":"Macromolecules","language":"en","note":"number: 14","page":"5278-5293","source":"DOI.org (Crossref)","title":"Do Very Small POSS Nanoparticles Perturb s-PMMA Chain Conformations?","volume":"51","author":[{"family":"Jouault","given":"Nicolas"},{"family":"Kumar","given":"Sanat K."},{"family":"Smalley","given":"Robert J."},{"family":"Chi","given":"Changzai"},{"family":"Moneta","given":"Robert"},{"family":"Wood","given":"Barbara"},{"family":"Salerno","given":"Holly"},{"family":"Melnichenko","given":"Yuri B."},{"family":"He","given":"Lilin"},{"family":"Guise","given":"William E."},{"family":"Hammouda","given":"Boualem"},{"family":"Crawford","given":"Michael K."}],"issued":{"date-parts":[["2018",7,24]]}}}],"schema":"https://github.com/citation-style-language/schema/raw/master/csl-citation.json"} </w:instrText>
      </w:r>
      <w:r w:rsidR="005855B5">
        <w:rPr>
          <w:rFonts w:ascii="Times New Roman" w:hAnsi="Times New Roman" w:cs="Times New Roman"/>
          <w:color w:val="000000"/>
          <w:kern w:val="0"/>
          <w:lang w:val="en-US"/>
        </w:rPr>
        <w:fldChar w:fldCharType="separate"/>
      </w:r>
      <w:r w:rsidR="005855B5">
        <w:rPr>
          <w:rFonts w:ascii="Times New Roman" w:hAnsi="Times New Roman" w:cs="Times New Roman"/>
          <w:noProof/>
          <w:color w:val="000000"/>
          <w:kern w:val="0"/>
          <w:lang w:val="en-US"/>
        </w:rPr>
        <w:t>[1]</w:t>
      </w:r>
      <w:r w:rsidR="005855B5">
        <w:rPr>
          <w:rFonts w:ascii="Times New Roman" w:hAnsi="Times New Roman" w:cs="Times New Roman"/>
          <w:color w:val="000000"/>
          <w:kern w:val="0"/>
          <w:lang w:val="en-US"/>
        </w:rPr>
        <w:fldChar w:fldCharType="end"/>
      </w:r>
      <w:r w:rsidRPr="00F3397E">
        <w:rPr>
          <w:rFonts w:ascii="Times New Roman" w:hAnsi="Times New Roman" w:cs="Times New Roman"/>
          <w:color w:val="000000"/>
          <w:kern w:val="0"/>
          <w:lang w:val="en-US"/>
        </w:rPr>
        <w:t xml:space="preserve"> (gold and </w:t>
      </w:r>
      <w:proofErr w:type="spellStart"/>
      <w:r w:rsidRPr="00F3397E">
        <w:rPr>
          <w:rFonts w:ascii="Times New Roman" w:hAnsi="Times New Roman" w:cs="Times New Roman"/>
          <w:color w:val="000000"/>
          <w:kern w:val="0"/>
          <w:lang w:val="en-US"/>
        </w:rPr>
        <w:t>silice</w:t>
      </w:r>
      <w:proofErr w:type="spellEnd"/>
      <w:r w:rsidRPr="00F3397E">
        <w:rPr>
          <w:rFonts w:ascii="Times New Roman" w:hAnsi="Times New Roman" w:cs="Times New Roman"/>
          <w:color w:val="000000"/>
          <w:kern w:val="0"/>
          <w:lang w:val="en-US"/>
        </w:rPr>
        <w:t>), such as coacervates, or precipitates, with potential applications in phase separation processes, including extraction and depollution</w:t>
      </w:r>
      <w:r>
        <w:rPr>
          <w:rFonts w:ascii="Times New Roman" w:hAnsi="Times New Roman" w:cs="Times New Roman"/>
          <w:color w:val="000000"/>
          <w:kern w:val="0"/>
          <w:lang w:val="en-US"/>
        </w:rPr>
        <w:fldChar w:fldCharType="begin"/>
      </w:r>
      <w:r w:rsidR="005855B5">
        <w:rPr>
          <w:rFonts w:ascii="Times New Roman" w:hAnsi="Times New Roman" w:cs="Times New Roman"/>
          <w:color w:val="000000"/>
          <w:kern w:val="0"/>
          <w:lang w:val="en-US"/>
        </w:rPr>
        <w:instrText xml:space="preserve"> ADDIN ZOTERO_ITEM CSL_CITATION {"citationID":"eh9yoUTn","properties":{"unsorted":false,"formattedCitation":"[2]","plainCitation":"[2]","noteIndex":0},"citationItems":[{"id":4,"uris":["http://zotero.org/users/15628629/items/4NKRJNP2"],"itemData":{"id":4,"type":"article-journal","abstract":"Eﬄuent wastewater containing dyes from textile, paint, and various other industrial wastes have long posed environmental damage. Functional nanomaterials oﬀer new opportunities to treat these eﬄuent wastes in an unprecedentedly rapid and eﬃcient fashion due to their large surface area-tovolume ratio. In this work, we explore a new approach of wastewater treatment using macroionic coacervate complexes formed with zwitterionic polyampholytes and anionic inorganic polyoxometalate (POM) nanoclusters to extract methylene blue (MB) dye as well as other cationic industrial dyes from model wastewater. Biphasic organic−inorganic macroion complexes are designed to produce a small volume of coacervate adsorbents of high density and viscoelasticity, in contrast to a large volume of supernatant solution for rapid and eﬃcient dye removal. The eﬃciency of coacervate extraction is characterized by the adsorption isotherm and maximum MB uptake capacity against the concentrations of polyampholyte, POM, and LiCl salt using UV−vis spectrophotometry to optimize the coacervate formation conditions. Our macroionic coacervate complexes could reach nearly 99% removal eﬃciency for the model wastewater samples of varied MB concentration in &lt;1 min. The extraction capacity up to </w:instrText>
      </w:r>
      <w:r w:rsidR="005855B5">
        <w:rPr>
          <w:rFonts w:ascii="Cambria Math" w:hAnsi="Cambria Math" w:cs="Cambria Math"/>
          <w:color w:val="000000"/>
          <w:kern w:val="0"/>
          <w:lang w:val="en-US"/>
        </w:rPr>
        <w:instrText>∼</w:instrText>
      </w:r>
      <w:r w:rsidR="005855B5">
        <w:rPr>
          <w:rFonts w:ascii="Times New Roman" w:hAnsi="Times New Roman" w:cs="Times New Roman"/>
          <w:color w:val="000000"/>
          <w:kern w:val="0"/>
          <w:lang w:val="en-US"/>
        </w:rPr>
        <w:instrText xml:space="preserve">400 mg/g far surpasses the dye extraction eﬃciency of widely used activated carbon adsorbents. We also explore the regeneration of coacervate complexes containing high concentration of extracted MB by a simple Fenton oxidation process to bleach coacervate complexes for repeated POM usage, which shows similar MB extraction eﬃciency after regeneration. Hence, coacervate extraction based upon spontaneous liquid−liquid separating complexation between polyzwitterions and POMs is demonstrated as a rapid, eﬃcient, and sustainable method for industrial dye wastewater treatment. In perspective, coacervate extraction could advantageously possess dual processing options in separation industry through either membrane fabrication or use directly in mixer-settlers.","container-title":"ACS Applied Materials &amp; Interfaces","DOI":"10.1021/acsami.8b21674","ISSN":"1944-8244, 1944-8252","issue":"7","journalAbbreviation":"ACS Appl. Mater. Interfaces","language":"en","license":"https://doi.org/10.15223/policy-029","page":"7472-7478","source":"DOI.org (Crossref)","title":"Rapid and Efficient Coacervate Extraction of Cationic Industrial Dyes from Wastewater","volume":"11","author":[{"family":"Valley","given":"Benjamin"},{"family":"Jing","given":"Benxin"},{"family":"Ferreira","given":"Manuela"},{"family":"Zhu","given":"Yingxi"}],"issued":{"date-parts":[["2019",2,20]]}}}],"schema":"https://github.com/citation-style-language/schema/raw/master/csl-citation.json"} </w:instrText>
      </w:r>
      <w:r>
        <w:rPr>
          <w:rFonts w:ascii="Times New Roman" w:hAnsi="Times New Roman" w:cs="Times New Roman"/>
          <w:color w:val="000000"/>
          <w:kern w:val="0"/>
          <w:lang w:val="en-US"/>
        </w:rPr>
        <w:fldChar w:fldCharType="separate"/>
      </w:r>
      <w:r w:rsidR="005855B5">
        <w:rPr>
          <w:rFonts w:ascii="Times New Roman" w:hAnsi="Times New Roman" w:cs="Times New Roman"/>
          <w:noProof/>
          <w:color w:val="000000"/>
          <w:kern w:val="0"/>
          <w:lang w:val="en-US"/>
        </w:rPr>
        <w:t>[2]</w:t>
      </w:r>
      <w:r>
        <w:rPr>
          <w:rFonts w:ascii="Times New Roman" w:hAnsi="Times New Roman" w:cs="Times New Roman"/>
          <w:color w:val="000000"/>
          <w:kern w:val="0"/>
          <w:lang w:val="en-US"/>
        </w:rPr>
        <w:fldChar w:fldCharType="end"/>
      </w:r>
      <w:r w:rsidRPr="00F3397E">
        <w:rPr>
          <w:rFonts w:ascii="Times New Roman" w:hAnsi="Times New Roman" w:cs="Times New Roman"/>
          <w:color w:val="000000"/>
          <w:kern w:val="0"/>
          <w:lang w:val="en-US"/>
        </w:rPr>
        <w:t>. While the interactions of PEs with ions and colloids are well-documented</w:t>
      </w:r>
      <w:r>
        <w:rPr>
          <w:rFonts w:ascii="Times New Roman" w:hAnsi="Times New Roman" w:cs="Times New Roman"/>
          <w:color w:val="000000"/>
          <w:kern w:val="0"/>
          <w:lang w:val="en-US"/>
        </w:rPr>
        <w:fldChar w:fldCharType="begin"/>
      </w:r>
      <w:r w:rsidR="005855B5">
        <w:rPr>
          <w:rFonts w:ascii="Times New Roman" w:hAnsi="Times New Roman" w:cs="Times New Roman"/>
          <w:color w:val="000000"/>
          <w:kern w:val="0"/>
          <w:lang w:val="en-US"/>
        </w:rPr>
        <w:instrText xml:space="preserve"> ADDIN ZOTERO_ITEM CSL_CITATION {"citationID":"wYyHUOHy","properties":{"unsorted":false,"formattedCitation":"[1, 3\\uc0\\u8211{}9]","plainCitation":"[1, 3–9]","noteIndex":0},"citationItems":[{"id":313,"uris":["http://zotero.org/users/15628629/items/DFQMX69X"],"itemData":{"id":313,"type":"article-journal","abstract":"We study the aggregation of charged plate-like colloids, Na-montmorillonite clays, in the presence of ionenes, oppositely charged polymer chains. The choice of the charged polymer allows tuning its linear charge density to match/ mismatch the average charge separation on the clay surfaces. We assess the nanoscale structure of the aggregates formed by smallangle X-ray and neutron scattering. The nanoscale features of the formed clay aggregates are dominated by the presence of a stacking peak, giving clear evidence for the formation of clay tactoids, that is, a face-to-face aggregation geometry of the clay platelets. The chain charge density of ionenes inﬂuences not only the stacking repeat distance within the clay tactoids but also the extent of stacking and abundance of the tactoids. We may distinguish two regimes as a function of clay and ionene polymer charge densities (ρc and ρp, respectively). The ﬁrst regime applies to ρp &gt; ρc and ρp ≈ ρc, that is, for highly and “matching” charged chains. Under these conditions, the intercalated chains lie in a ﬂat conformation within the tactoids, irrespective of the ionic strength (within the range studied, i.e., up to 0.05 M NaBr). For weakly charged chains, ρp &lt; ρc, undulation of the ionene chains within the tactoid is seen. The degree of undulation increases with ionic strength due to the decreasing persistence length of the ionene chains. The extent of stacking (5−10 platelets per tactoid) is a general feature of all the systems, and its origin remains unknown. The system corresponding to the closest match in charge separations on the clay surface and on the polymer chain (ρp ≈ ρc) features the highest abundance of tactoids. This coincides with the highest macroscopic density as deduced from simple visual inspection of sediment volumes. This leads to the open question regarding the link between the density at the nanoscale and the macroscopic density and sedimentation behavior of the aggregate.","container-title":"Langmuir","DOI":"10.1021/acs.langmuir.9b00939","ISSN":"0743-7463, 1520-5827","issue":"33","journalAbbreviation":"Langmuir","language":"en","license":"https://doi.org/10.15223/policy-029","page":"10937-10946","source":"DOI.org (Crossref)","title":"Aggregation of Plate-like Colloids Induced by Charged Polymer Chains: Organization at the Nanometer Scale Tuned by Polymer Charge Density","title-short":"Aggregation of Plate-like Colloids Induced by Charged Polymer Chains","volume":"35","author":[{"family":"Sakhawoth","given":"Yasine"},{"family":"Michot","given":"Laurent"},{"family":"Levitz","given":"Pierre"},{"family":"Rollet","given":"Anne-Laure"},{"family":"Sirieix-Plenet","given":"Juliette"},{"family":"Merino","given":"Daniel Hermida"},{"family":"Malikova","given":"Natalie"}],"issued":{"date-parts":[["2019",8,20]]}}},{"id":487,"uris":["http://zotero.org/users/15628629/items/8RSCUGRW"],"itemData":{"id":487,"type":"article","abstract":"Ion-specific effects in aqueous solutions of polyelectrolytes are addressed here. We focus on ionene cationic chains, featuring simple structure, absence of side-groups and very regular chain charge density. Ion-specific effects in ionene solutions are demonstrated using a series of monovalent (halide) counterions. The study combines both static and dynamic measurements by small angle neutron scattering, neutron spin echo and PFG-NMR. Ion-specific effects are a phenomenon at high polyelectrolyte concentration and the nature of the counterion is seen to influence drastically the ionene chain-chain interactions. The origin lies in the closer approach of large, highly polarisable counterions to the chain backbone, leading to more constricted counterion clouds. Equally affected is the local chain rigidity, as well as collective and self-diffusion coefficients at larger scales. Small, nonpolarizable, strongly hydrating counterions, here F− ions, lead to locally rigid chains. For such chains, the nm-scale collective dynamics as seen by neutron spin echo, is the fastest, while the self-diffusion seen at μm scale by PFG-NMR is the slowest. In other words, the loss of charge on the chain due to ion-specific counterion ”condensation” has the opposite effect on collective diffusion and self-diffusion of the chains.","DOI":"10.26434/chemrxiv-2024-drcrc","language":"en","license":"https://creativecommons.org/licenses/by-nc-nd/4.0/","source":"Chemistry","title":"Ion-specific effects in polyelectrolyte solutions: chain-chain interactions, chain rigidity and dynamics","title-short":"Ion-specific effects in polyelectrolyte solutions","URL":"https://chemrxiv.org/engage/chemrxiv/article-details/65c0b17c66c13817290058e3","author":[{"family":"Hotton","given":"Claire"},{"family":"Sakhawoth","given":"Yasine"},{"family":"Rollet","given":"Anne-Laure"},{"family":"Sirieix-Plenet","given":"Juliette"},{"family":"Tea","given":"Lingsam"},{"family":"Combet","given":"Sophie"},{"family":"Sharp","given":"Melissa"},{"family":"Hoffmann","given":"Ingo"},{"family":"Nallet","given":"Frederic"},{"family":"Malikova","given":"Natalie"}],"accessed":{"date-parts":[["2025",1,9]]},"issued":{"date-parts":[["2024",2,6]]}}},{"id":603,"uris":["http://zotero.org/users/15628629/items/JR2X9NTI"],"itemData":{"id":603,"type":"article-journal","abstract":"Aqueous solutions of ionene polyelectrolytes highlight the need for combining the scaling concepts of polyelectrolyte solutions with those of ion specificity, to encompass the wealth of phenomena taking place in these systems.\n          , \n            \n              Aqueous solutions of polyelectrolytes are studied here by means of neutron scattering, with emphasis on backbone hydrophobicity and counter ion specific effects. Ionene polyelectrolytes with varying chain charge density and different counter ions are considered. Their neutron scattering data feature a number of aspects and trends that clearly deviate from the predictions of the existing theory. Ionenes challenge the current hydrophilic–hydrophobic classification of water-soluble polyelectrolytes. The hydrophobic character of their hydrocarbon backbone emerges only for very low chain charge densities (at 15% of charged monomers), which is significantly lower than for other polyelectrolytes with a more complex structure. Universality in the counter ion specific effect seen in ionene solutions with Br\n              −\n              or F\n              −\n              counterions is established. The polyelectrolyte peak in the scattering spectra of Br-ionenes disappears beyond a specific charge concentration, which is identical across all ionene chain charge densities. In addition, scattering spectra of Br-ionenes and F-ionenes feature contrasting temperature trends, which are accentuated with decreasing chain charge density. Our interpretation of the F–Br effect, based on the different hydration properties of the counter ions, is supported by additional NMR measurements on ionenes with mixed counter ion clouds. Overall, the study of ionene polyelectrolytes points clearly to the need for combining the scaling concepts with those of ion specificity, to obtain a theoretical framework encompassing the wealth of phenomena occurring in polyelectrolyte solutions.","container-title":"Physical Chemistry Chemical Physics","DOI":"10.1039/C4CP05469E","ISSN":"1463-9076, 1463-9084","issue":"8","journalAbbreviation":"Phys. Chem. Chem. Phys.","language":"en","page":"5650-5658","source":"DOI.org (Crossref)","title":"On the crossroads of current polyelectrolyte theory and counterion-specific effects","volume":"17","author":[{"family":"Malikova","given":"Natalie"},{"family":"Rollet","given":"Anne-Laure"},{"family":"Čebašek","given":"Sašo"},{"family":"Tomšič","given":"Matija"},{"family":"Vlachy","given":"Vojko"}],"issued":{"date-parts":[["2015"]]}}},{"id":63,"uris":["http://zotero.org/users/15628629/items/WE825DCI"],"itemData":{"id":63,"type":"article-journal","container-title":"Physical Review E","DOI":"10.1103/PhysRevE.94.032504","ISSN":"2470-0045, 2470-0053","issue":"3","journalAbbreviation":"Phys. Rev. E","language":"en","license":"http://link.aps.org/licenses/aps-default-license","page":"032504","source":"DOI.org (Crossref)","title":"Role of the ratio of biopolyelectrolyte persistence length to nanoparticle size in the structural tuning of electrostatic complexes","volume":"94","author":[{"family":"Shi","given":"Li"},{"family":"Carn","given":"Florent"},{"family":"Boué","given":"François"},{"family":"Buhler","given":"Eric"}],"issued":{"date-parts":[["2016",9,16]]}}},{"id":302,"uris":["http://zotero.org/users/15628629/items/KYAXCRT6"],"itemData":{"id":302,"type":"article-journal","abstract":"Effect of polyampholyte net charge on the phase diagram and viscoelasticity of polyzwitterion–polyoxometalate coacervates.\n          , \n            \n              The effect of net charge of zwitterionic polymers on the phase behavior and viscoelastic properties of hybrid polyampholyte–polyoxometalate (POM) complexes in salted aqueous solutions is investigated with polyampholyte copolymers consisting of both positively and negatively charged monomers. Zwitterionic polyampholytes of varied net charge, abbreviated as PA\n              x\n              M\n              y\n              , are synthesized by varying the feeding molar ratio of negatively charged 2-acrylamido-2-methyl-1-propanesulfonic acid (AMPS) to positively charged [3-(methacryloylamino)propyl]trimethylammonium chloride (MAPTAC) monomers in aqueous solution. The coacervate formation between PA\n              x\n              M\n              y\n              and inorganic anionic metatungstate POM ({W\n              12\n              }) in LiCl added aqueous solutions can be enhanced by increasing the molar fraction of positively charged MAPTAC monomer and LiCl concentration. The salt-broadened coacervation, clearly distinct from the salt-suppressed one between oppositely charged polyelectrolytes, suggests the account of zwitterion-anion pairing for PA\n              x\n              M\n              y\n              –{W\n              12\n              } coacervate formation due to stronger binding of multivalent {W\n              12\n              } giant ions with PA\n              x\n              M\n              y\n              than simple ions. Importantly, as AMPS or MAPTAC monomer fraction in polyampholytes is varied by merely ±5% from the effective net neutral case, the viscoelasticity of PA\n              x\n              M\n              y\n              –{W\n              12\n              } coacervates can be modified by 4–5 folds, suggesting a new tuning parameter to fine control the macroionic interactions and material properties of biomimetic complex coacervates.","container-title":"Soft Matter","DOI":"10.1039/D0SM01565B","ISSN":"1744-683X, 1744-6848","issue":"45","journalAbbreviation":"Soft Matter","language":"en","note":"number: 45","page":"10280-10289","source":"DOI.org (Crossref)","title":"Effect of polyampholyte net charge on complex coacervation between polyampholytes and inorganic polyoxometalate giant anions","volume":"16","author":[{"family":"Ferreira","given":"Manuela"},{"family":"Jing","given":"Benxin"},{"family":"Lorenzana","given":"Adrian"},{"family":"Zhu","given":"Yingxi"}],"issued":{"date-parts":[["2020"]]}}},{"id":61,"uris":["http://zotero.org/users/15628629/items/M8979R9I"],"itemData":{"id":61,"type":"article-journal","container-title":"Chemistry of Materials","DOI":"10.1021/cm051274u","ISSN":"0897-4756, 1520-5002","issue":"3","journalAbbreviation":"Chem. Mater.","language":"en","page":"591-593","source":"DOI.org (Crossref)","title":"Polyelectrolyte Stabilized Nanowires from Fe&lt;sub&gt;3&lt;/sub&gt; O&lt;sub&gt;4&lt;/sub&gt; Nanoparticles via Magnetic Field Induced Self-Assembly","volume":"18","author":[{"family":"Sheparovych","given":"Roman"},{"family":"Sahoo","given":"Yudhisthira"},{"family":"Motornov","given":"Mikhail"},{"family":"Wang","given":"Shumin"},{"family":"Luo","given":"Hong"},{"family":"Prasad","given":"Paras N."},{"family":"Sokolov","given":"Igor"},{"family":"Minko","given":"Sergiy"}],"issued":{"date-parts":[["2006",2,1]]}}},{"id":41,"uris":["http://zotero.org/users/15628629/items/VSYRW6QJ"],"itemData":{"id":41,"type":"article-journal","abstract":"The ionic strength dependence of the structure and dynamics of polyelectrolyte solutions was investigated by static and dynamic light scattering. Narrow molecular weight distribution sodium poly(styrenesulfonate) (NaPSS) standards in aqueous NaCl solutions were chosen as model systems. The study covers moderate polymer concentrations (</w:instrText>
      </w:r>
      <w:r w:rsidR="005855B5">
        <w:rPr>
          <w:rFonts w:ascii="Cambria Math" w:hAnsi="Cambria Math" w:cs="Cambria Math"/>
          <w:color w:val="000000"/>
          <w:kern w:val="0"/>
          <w:lang w:val="en-US"/>
        </w:rPr>
        <w:instrText>∼</w:instrText>
      </w:r>
      <w:r w:rsidR="005855B5">
        <w:rPr>
          <w:rFonts w:ascii="Times New Roman" w:hAnsi="Times New Roman" w:cs="Times New Roman"/>
          <w:color w:val="000000"/>
          <w:kern w:val="0"/>
          <w:lang w:val="en-US"/>
        </w:rPr>
        <w:instrText xml:space="preserve">0.5–50 g/L) where interparticle interactions rather than single-polyion properties are dominant. Two diffusive modes characterized as fast and slow were detected in most cases. Scattering amplitudes of these modes were evaluated from light scattering data, which was not done in previous investigations. Amplitudes were normalized by the scattering of a benzene standard. Attention was paid mainly to the occurrence of the slow diffusive mode, which is interpreted as the dynamics of large multichain domains. Experimental results show that the occurrence of the slow mode is not connected with any kind of a sharp transition at some critical conditions. The amplitude of the slow mode (scattering intensity associated with the slow mode) changes smoothly as a function of the ratio of the polymer concentration to the solution ionic strength. At sufficiently high polymer concentrations, the slow mode can even persist until theta conditions are reached (4.17 M NaCl at 25 °C). It was shown that the absolute scattering intensity associated with the slow mode increases upon decreasing ionic strength, which is a direct proof that the structures responsible for the slow mode (domains) really form in solution and cannot be associated with the presence of some impurities, stable aggregates due to the polymer incomplete solubility, etc. Multiangle dynamic light scattering data show that dimensions of the domains increase upon decreasing ionic strength, too. The fast and slow diffusive modes are always widely separated on the time scale and the ionic strength dependence of diffusion coefficient cannot be characterized as a ‘‘splitting of diffusion coefficient.’’","container-title":"The Journal of Chemical Physics","DOI":"10.1063/1.472841","ISSN":"0021-9606, 1089-7690","issue":"22","language":"en","page":"10123-10133","source":"DOI.org (Crossref)","title":"The ionic strength dependence of the structure and dynamics of polyelectrolyte solutions as seen by light scattering: The slow mode dilemma","title-short":"The ionic strength dependence of the structure and dynamics of polyelectrolyte solutions as seen by light scattering","volume":"105","author":[{"family":"Sedlák","given":"Marián"}],"issued":{"date-parts":[["1996",12,8]]}}},{"id":298,"uris":["http://zotero.org/users/15628629/items/765ZF2PE"],"itemData":{"id":298,"type":"article-journal","abstract":"Small-angle neutron scattering (SANS) measurements of syndiotactic s-PMMA polymers mixed with weakly attractive 1.0 nm diameter polyhedral oligomeric silsesquioxane (POSS) nanoparticles (NPs) show no observable changes in the chain radius of gyration Rg, regardless of the polymer molecular weights, the amount of residual solvent, or the POSS NP loading and dispersion (from 0 to 20 vol %). In retrospect, these results are not surprising since scaling arguments imply that chain size in the concentrated region of the phase diagram of a polymer solution is ideal and independent of the polymer volume fraction ϕ, and only as the semidilute region is entered with decreasing concentration does the chain size for a good solvent begin to increase due to polymer excluded volume and then scales with concentration as ϕ−1/8. For typical polymer nanocomposites the NP concentrations are less than 50% v/v, so the polymers are still generally within the concentrated regions of their phase diagrams, where ideal chain conformations are observed for small molecule solvents. By combining the present results with previous results from the literature, we conclude that spherical NPs apparently have little eﬀect on the conformations of polymer chains, especially in typical polymer nanocomposites that only incorporate moderate amounts of NPs.","container-title":"Macromolecules","DOI":"10.1021/acs.macromol.8b00432","ISSN":"0024-9297, 1520-5835","issue":"14","journalAbbreviation":"Macromolecules","language":"en","note":"number: 14","page":"5278-5293","source":"DOI.org (Crossref)","title":"Do Very Small POSS Nanoparticles Perturb s-PMMA Chain Conformations?","volume":"51","author":[{"family":"Jouault","given":"Nicolas"},{"family":"Kumar","given":"Sanat K."},{"family":"Smalley","given":"Robert J."},{"family":"Chi","given":"Changzai"},{"family":"Moneta","given":"Robert"},{"family":"Wood","given":"Barbara"},{"family":"Salerno","given":"Holly"},{"family":"Melnichenko","given":"Yuri B."},{"family":"He","given":"Lilin"},{"family":"Guise","given":"William E."},{"family":"Hammouda","given":"Boualem"},{"family":"Crawford","given":"Michael K."}],"issued":{"date-parts":[["2018",7,24]]}}}],"schema":"https://github.com/citation-style-language/schema/raw/master/csl-citation.json"} </w:instrText>
      </w:r>
      <w:r>
        <w:rPr>
          <w:rFonts w:ascii="Times New Roman" w:hAnsi="Times New Roman" w:cs="Times New Roman"/>
          <w:color w:val="000000"/>
          <w:kern w:val="0"/>
          <w:lang w:val="en-US"/>
        </w:rPr>
        <w:fldChar w:fldCharType="separate"/>
      </w:r>
      <w:r w:rsidR="005855B5" w:rsidRPr="005855B5">
        <w:rPr>
          <w:rFonts w:ascii="Times New Roman" w:hAnsi="Times New Roman" w:cs="Times New Roman"/>
          <w:color w:val="000000"/>
          <w:kern w:val="0"/>
          <w:lang w:val="en-US"/>
        </w:rPr>
        <w:t>[1, 3–9]</w:t>
      </w:r>
      <w:r>
        <w:rPr>
          <w:rFonts w:ascii="Times New Roman" w:hAnsi="Times New Roman" w:cs="Times New Roman"/>
          <w:color w:val="000000"/>
          <w:kern w:val="0"/>
          <w:lang w:val="en-US"/>
        </w:rPr>
        <w:fldChar w:fldCharType="end"/>
      </w:r>
      <w:r w:rsidRPr="00F3397E">
        <w:rPr>
          <w:rFonts w:ascii="Times New Roman" w:hAnsi="Times New Roman" w:cs="Times New Roman"/>
          <w:color w:val="000000"/>
          <w:kern w:val="0"/>
          <w:lang w:val="en-US"/>
        </w:rPr>
        <w:t>, little research has focused on molecular colloids of this intermediate size</w:t>
      </w:r>
      <w:r w:rsidR="005855B5">
        <w:rPr>
          <w:rFonts w:ascii="Times New Roman" w:hAnsi="Times New Roman" w:cs="Times New Roman"/>
          <w:color w:val="000000"/>
          <w:kern w:val="0"/>
          <w:lang w:val="en-US"/>
        </w:rPr>
        <w:t xml:space="preserve"> </w:t>
      </w:r>
      <w:r w:rsidR="005855B5">
        <w:rPr>
          <w:rFonts w:ascii="Times New Roman" w:hAnsi="Times New Roman" w:cs="Times New Roman"/>
          <w:color w:val="000000"/>
          <w:kern w:val="0"/>
          <w:lang w:val="en-US"/>
        </w:rPr>
        <w:fldChar w:fldCharType="begin"/>
      </w:r>
      <w:r w:rsidR="005855B5">
        <w:rPr>
          <w:rFonts w:ascii="Times New Roman" w:hAnsi="Times New Roman" w:cs="Times New Roman"/>
          <w:color w:val="000000"/>
          <w:kern w:val="0"/>
          <w:lang w:val="en-US"/>
        </w:rPr>
        <w:instrText xml:space="preserve"> ADDIN ZOTERO_ITEM CSL_CITATION {"citationID":"7ls42UuN","properties":{"unsorted":false,"formattedCitation":"[6, 7]","plainCitation":"[6, 7]","noteIndex":0},"citationItems":[{"id":63,"uris":["http://zotero.org/users/15628629/items/WE825DCI"],"itemData":{"id":63,"type":"article-journal","container-title":"Physical Review E","DOI":"10.1103/PhysRevE.94.032504","ISSN":"2470-0045, 2470-0053","issue":"3","journalAbbreviation":"Phys. Rev. E","language":"en","license":"http://link.aps.org/licenses/aps-default-license","page":"032504","source":"DOI.org (Crossref)","title":"Role of the ratio of biopolyelectrolyte persistence length to nanoparticle size in the structural tuning of electrostatic complexes","volume":"94","author":[{"family":"Shi","given":"Li"},{"family":"Carn","given":"Florent"},{"family":"Boué","given":"François"},{"family":"Buhler","given":"Eric"}],"issued":{"date-parts":[["2016",9,16]]}}},{"id":302,"uris":["http://zotero.org/users/15628629/items/KYAXCRT6"],"itemData":{"id":302,"type":"article-journal","abstract":"Effect of polyampholyte net charge on the phase diagram and viscoelasticity of polyzwitterion–polyoxometalate coacervates.\n          , \n            \n              The effect of net charge of zwitterionic polymers on the phase behavior and viscoelastic properties of hybrid polyampholyte–polyoxometalate (POM) complexes in salted aqueous solutions is investigated with polyampholyte copolymers consisting of both positively and negatively charged monomers. Zwitterionic polyampholytes of varied net charge, abbreviated as PA\n              x\n              M\n              y\n              , are synthesized by varying the feeding molar ratio of negatively charged 2-acrylamido-2-methyl-1-propanesulfonic acid (AMPS) to positively charged [3-(methacryloylamino)propyl]trimethylammonium chloride (MAPTAC) monomers in aqueous solution. The coacervate formation between PA\n              x\n              M\n              y\n              and inorganic anionic metatungstate POM ({W\n              12\n              }) in LiCl added aqueous solutions can be enhanced by increasing the molar fraction of positively charged MAPTAC monomer and LiCl concentration. The salt-broadened coacervation, clearly distinct from the salt-suppressed one between oppositely charged polyelectrolytes, suggests the account of zwitterion-anion pairing for PA\n              x\n              M\n              y\n              –{W\n              12\n              } coacervate formation due to stronger binding of multivalent {W\n              12\n              } giant ions with PA\n              x\n              M\n              y\n              than simple ions. Importantly, as AMPS or MAPTAC monomer fraction in polyampholytes is varied by merely ±5% from the effective net neutral case, the viscoelasticity of PA\n              x\n              M\n              y\n              –{W\n              12\n              } coacervates can be modified by 4–5 folds, suggesting a new tuning parameter to fine control the macroionic interactions and material properties of biomimetic complex coacervates.","container-title":"Soft Matter","DOI":"10.1039/D0SM01565B","ISSN":"1744-683X, 1744-6848","issue":"45","journalAbbreviation":"Soft Matter","language":"en","note":"number: 45","page":"10280-10289","source":"DOI.org (Crossref)","title":"Effect of polyampholyte net charge on complex coacervation between polyampholytes and inorganic polyoxometalate giant anions","volume":"16","author":[{"family":"Ferreira","given":"Manuela"},{"family":"Jing","given":"Benxin"},{"family":"Lorenzana","given":"Adrian"},{"family":"Zhu","given":"Yingxi"}],"issued":{"date-parts":[["2020"]]}}}],"schema":"https://github.com/citation-style-language/schema/raw/master/csl-citation.json"} </w:instrText>
      </w:r>
      <w:r w:rsidR="005855B5">
        <w:rPr>
          <w:rFonts w:ascii="Times New Roman" w:hAnsi="Times New Roman" w:cs="Times New Roman"/>
          <w:color w:val="000000"/>
          <w:kern w:val="0"/>
          <w:lang w:val="en-US"/>
        </w:rPr>
        <w:fldChar w:fldCharType="separate"/>
      </w:r>
      <w:r w:rsidR="005855B5">
        <w:rPr>
          <w:rFonts w:ascii="Times New Roman" w:hAnsi="Times New Roman" w:cs="Times New Roman"/>
          <w:noProof/>
          <w:color w:val="000000"/>
          <w:kern w:val="0"/>
          <w:lang w:val="en-US"/>
        </w:rPr>
        <w:t>[6, 7]</w:t>
      </w:r>
      <w:r w:rsidR="005855B5">
        <w:rPr>
          <w:rFonts w:ascii="Times New Roman" w:hAnsi="Times New Roman" w:cs="Times New Roman"/>
          <w:color w:val="000000"/>
          <w:kern w:val="0"/>
          <w:lang w:val="en-US"/>
        </w:rPr>
        <w:fldChar w:fldCharType="end"/>
      </w:r>
      <w:r w:rsidRPr="00F3397E">
        <w:rPr>
          <w:rFonts w:ascii="Times New Roman" w:hAnsi="Times New Roman" w:cs="Times New Roman"/>
          <w:color w:val="000000"/>
          <w:kern w:val="0"/>
          <w:lang w:val="en-US"/>
        </w:rPr>
        <w:t xml:space="preserve">. </w:t>
      </w:r>
      <w:r w:rsidR="00EB40A4" w:rsidRPr="00BD62AD">
        <w:rPr>
          <w:rFonts w:ascii="Times New Roman" w:hAnsi="Times New Roman" w:cs="Times New Roman"/>
          <w:color w:val="4472C4" w:themeColor="accent1"/>
          <w:kern w:val="0"/>
          <w:lang w:val="en-US"/>
        </w:rPr>
        <w:t>First investigation on system composed of Polystyrene Sulfonate (a negatively charged PE) and primary amine-functionalized POSS (positively charged depending on the pH).</w:t>
      </w:r>
      <w:r w:rsidR="00EB40A4" w:rsidRPr="00BD62AD">
        <w:rPr>
          <w:rFonts w:ascii="Times New Roman" w:hAnsi="Times New Roman" w:cs="Times New Roman"/>
          <w:color w:val="4472C4" w:themeColor="accent1"/>
          <w:kern w:val="0"/>
          <w:lang w:val="en-US"/>
        </w:rPr>
        <w:t xml:space="preserve"> T</w:t>
      </w:r>
      <w:r w:rsidR="00EB40A4" w:rsidRPr="00BD62AD">
        <w:rPr>
          <w:rFonts w:ascii="Times New Roman" w:hAnsi="Times New Roman" w:cs="Times New Roman"/>
          <w:color w:val="4472C4" w:themeColor="accent1"/>
          <w:kern w:val="0"/>
          <w:lang w:val="en-US"/>
        </w:rPr>
        <w:t xml:space="preserve">he POSS/PE phase diagram </w:t>
      </w:r>
      <w:r w:rsidR="00EB40A4" w:rsidRPr="00BD62AD">
        <w:rPr>
          <w:rFonts w:ascii="Times New Roman" w:hAnsi="Times New Roman" w:cs="Times New Roman"/>
          <w:color w:val="4472C4" w:themeColor="accent1"/>
          <w:kern w:val="0"/>
          <w:lang w:val="en-US"/>
        </w:rPr>
        <w:t>show</w:t>
      </w:r>
      <w:r w:rsidR="00A14D48" w:rsidRPr="00BD62AD">
        <w:rPr>
          <w:rFonts w:ascii="Times New Roman" w:hAnsi="Times New Roman" w:cs="Times New Roman"/>
          <w:color w:val="4472C4" w:themeColor="accent1"/>
          <w:kern w:val="0"/>
          <w:lang w:val="en-US"/>
        </w:rPr>
        <w:t xml:space="preserve"> systematically </w:t>
      </w:r>
      <w:r w:rsidR="00EB40A4" w:rsidRPr="00BD62AD">
        <w:rPr>
          <w:rFonts w:ascii="Times New Roman" w:hAnsi="Times New Roman" w:cs="Times New Roman"/>
          <w:color w:val="4472C4" w:themeColor="accent1"/>
          <w:kern w:val="0"/>
          <w:lang w:val="en-US"/>
        </w:rPr>
        <w:t xml:space="preserve">precipitate. </w:t>
      </w:r>
      <w:r w:rsidR="00EB40A4" w:rsidRPr="00BD62AD">
        <w:rPr>
          <w:rFonts w:ascii="Times New Roman" w:hAnsi="Times New Roman" w:cs="Times New Roman"/>
          <w:color w:val="4472C4" w:themeColor="accent1"/>
          <w:kern w:val="0"/>
          <w:lang w:val="en-US"/>
        </w:rPr>
        <w:t xml:space="preserve">The </w:t>
      </w:r>
      <w:r w:rsidR="00A14D48" w:rsidRPr="00BD62AD">
        <w:rPr>
          <w:rFonts w:ascii="Times New Roman" w:hAnsi="Times New Roman" w:cs="Times New Roman"/>
          <w:color w:val="4472C4" w:themeColor="accent1"/>
          <w:kern w:val="0"/>
          <w:lang w:val="en-US"/>
        </w:rPr>
        <w:t>characterization</w:t>
      </w:r>
      <w:r w:rsidR="00EB40A4" w:rsidRPr="00BD62AD">
        <w:rPr>
          <w:rFonts w:ascii="Times New Roman" w:hAnsi="Times New Roman" w:cs="Times New Roman"/>
          <w:color w:val="4472C4" w:themeColor="accent1"/>
          <w:kern w:val="0"/>
          <w:lang w:val="en-US"/>
        </w:rPr>
        <w:t xml:space="preserve"> of POSS/PE aggregates </w:t>
      </w:r>
      <w:r w:rsidR="00A14D48" w:rsidRPr="00BD62AD">
        <w:rPr>
          <w:rFonts w:ascii="Times New Roman" w:hAnsi="Times New Roman" w:cs="Times New Roman"/>
          <w:color w:val="4472C4" w:themeColor="accent1"/>
          <w:kern w:val="0"/>
          <w:lang w:val="en-US"/>
        </w:rPr>
        <w:t>are</w:t>
      </w:r>
      <w:r w:rsidR="00EB40A4" w:rsidRPr="00BD62AD">
        <w:rPr>
          <w:rFonts w:ascii="Times New Roman" w:hAnsi="Times New Roman" w:cs="Times New Roman"/>
          <w:color w:val="4472C4" w:themeColor="accent1"/>
          <w:kern w:val="0"/>
          <w:lang w:val="en-US"/>
        </w:rPr>
        <w:t xml:space="preserve"> </w:t>
      </w:r>
      <w:r w:rsidR="00A14D48" w:rsidRPr="00BD62AD">
        <w:rPr>
          <w:rFonts w:ascii="Times New Roman" w:hAnsi="Times New Roman" w:cs="Times New Roman"/>
          <w:color w:val="4472C4" w:themeColor="accent1"/>
          <w:kern w:val="0"/>
          <w:lang w:val="en-US"/>
        </w:rPr>
        <w:t>analyzed</w:t>
      </w:r>
      <w:r w:rsidR="00EB40A4" w:rsidRPr="00BD62AD">
        <w:rPr>
          <w:rFonts w:ascii="Times New Roman" w:hAnsi="Times New Roman" w:cs="Times New Roman"/>
          <w:color w:val="4472C4" w:themeColor="accent1"/>
          <w:kern w:val="0"/>
          <w:lang w:val="en-US"/>
        </w:rPr>
        <w:t xml:space="preserve"> by combining SAXS and SANS, enabling a better understanding of the interactions within these </w:t>
      </w:r>
      <w:r w:rsidR="00EB40A4" w:rsidRPr="00BD62AD">
        <w:rPr>
          <w:rFonts w:ascii="Times New Roman" w:hAnsi="Times New Roman" w:cs="Times New Roman"/>
          <w:color w:val="4472C4" w:themeColor="accent1"/>
          <w:kern w:val="0"/>
          <w:lang w:val="en-US"/>
        </w:rPr>
        <w:t>assemblies</w:t>
      </w:r>
      <w:r w:rsidR="00A14D48" w:rsidRPr="00BD62AD">
        <w:rPr>
          <w:rFonts w:ascii="Times New Roman" w:hAnsi="Times New Roman" w:cs="Times New Roman"/>
          <w:color w:val="4472C4" w:themeColor="accent1"/>
          <w:kern w:val="0"/>
          <w:lang w:val="en-US"/>
        </w:rPr>
        <w:t xml:space="preserve">. With thus methods the impacts of </w:t>
      </w:r>
      <w:r w:rsidR="007E43A8" w:rsidRPr="00BD62AD">
        <w:rPr>
          <w:rFonts w:ascii="Times New Roman" w:hAnsi="Times New Roman" w:cs="Times New Roman"/>
          <w:color w:val="4472C4" w:themeColor="accent1"/>
          <w:kern w:val="0"/>
          <w:lang w:val="en-US"/>
        </w:rPr>
        <w:t>parameters such as ionic strength, charge ratio, polymer rigidity and pendant group chemistry</w:t>
      </w:r>
      <w:r w:rsidR="00A14D48" w:rsidRPr="00BD62AD">
        <w:rPr>
          <w:rFonts w:ascii="Times New Roman" w:hAnsi="Times New Roman" w:cs="Times New Roman"/>
          <w:color w:val="4472C4" w:themeColor="accent1"/>
          <w:kern w:val="0"/>
          <w:lang w:val="en-US"/>
        </w:rPr>
        <w:t xml:space="preserve"> are study to understand </w:t>
      </w:r>
      <w:r w:rsidR="007E43A8" w:rsidRPr="00BD62AD">
        <w:rPr>
          <w:rFonts w:ascii="Times New Roman" w:hAnsi="Times New Roman" w:cs="Times New Roman"/>
          <w:color w:val="4472C4" w:themeColor="accent1"/>
          <w:kern w:val="0"/>
          <w:lang w:val="en-US"/>
        </w:rPr>
        <w:t>which</w:t>
      </w:r>
      <w:r w:rsidR="00A14D48" w:rsidRPr="00BD62AD">
        <w:rPr>
          <w:rFonts w:ascii="Times New Roman" w:hAnsi="Times New Roman" w:cs="Times New Roman"/>
          <w:color w:val="4472C4" w:themeColor="accent1"/>
          <w:kern w:val="0"/>
          <w:lang w:val="en-US"/>
        </w:rPr>
        <w:t xml:space="preserve"> one</w:t>
      </w:r>
      <w:r w:rsidR="007E43A8" w:rsidRPr="00BD62AD">
        <w:rPr>
          <w:rFonts w:ascii="Times New Roman" w:hAnsi="Times New Roman" w:cs="Times New Roman"/>
          <w:color w:val="4472C4" w:themeColor="accent1"/>
          <w:kern w:val="0"/>
          <w:lang w:val="en-US"/>
        </w:rPr>
        <w:t xml:space="preserve"> </w:t>
      </w:r>
      <w:r w:rsidR="00BE1151" w:rsidRPr="00BD62AD">
        <w:rPr>
          <w:rFonts w:ascii="Times New Roman" w:hAnsi="Times New Roman" w:cs="Times New Roman"/>
          <w:color w:val="4472C4" w:themeColor="accent1"/>
          <w:kern w:val="0"/>
          <w:lang w:val="en-US"/>
        </w:rPr>
        <w:t>governs</w:t>
      </w:r>
      <w:r w:rsidR="007E43A8" w:rsidRPr="00BD62AD">
        <w:rPr>
          <w:rFonts w:ascii="Times New Roman" w:hAnsi="Times New Roman" w:cs="Times New Roman"/>
          <w:color w:val="4472C4" w:themeColor="accent1"/>
          <w:kern w:val="0"/>
          <w:lang w:val="en-US"/>
        </w:rPr>
        <w:t xml:space="preserve"> the formation of POSS/PE complex architectures</w:t>
      </w:r>
      <w:r w:rsidR="00BD62AD">
        <w:rPr>
          <w:rFonts w:ascii="Times New Roman" w:hAnsi="Times New Roman" w:cs="Times New Roman"/>
          <w:color w:val="4472C4" w:themeColor="accent1"/>
          <w:kern w:val="0"/>
          <w:lang w:val="en-US"/>
        </w:rPr>
        <w:t>.</w:t>
      </w:r>
    </w:p>
    <w:p w14:paraId="260AA5F9" w14:textId="77777777" w:rsidR="00386BB3" w:rsidRPr="00386BB3" w:rsidRDefault="00F3397E" w:rsidP="00386BB3">
      <w:pPr>
        <w:pStyle w:val="Bibliographie"/>
        <w:rPr>
          <w:rFonts w:ascii="Arial" w:hAnsi="Arial" w:cs="Arial"/>
          <w:sz w:val="16"/>
          <w:lang w:val="en-US"/>
        </w:rPr>
      </w:pPr>
      <w:r w:rsidRPr="005855B5">
        <w:rPr>
          <w:rFonts w:ascii="Arial" w:hAnsi="Arial" w:cs="Arial"/>
          <w:sz w:val="16"/>
          <w:szCs w:val="16"/>
          <w:lang w:val="fr-FR"/>
        </w:rPr>
        <w:fldChar w:fldCharType="begin"/>
      </w:r>
      <w:r w:rsidRPr="005855B5">
        <w:rPr>
          <w:rFonts w:ascii="Arial" w:hAnsi="Arial" w:cs="Arial"/>
          <w:sz w:val="16"/>
          <w:szCs w:val="16"/>
          <w:lang w:val="en-US"/>
        </w:rPr>
        <w:instrText xml:space="preserve"> ADDIN ZOTERO_BIBL {"uncited":[],"omitted":[],"custom":[]} CSL_BIBLIOGRAPHY </w:instrText>
      </w:r>
      <w:r w:rsidRPr="005855B5">
        <w:rPr>
          <w:rFonts w:ascii="Arial" w:hAnsi="Arial" w:cs="Arial"/>
          <w:sz w:val="16"/>
          <w:szCs w:val="16"/>
          <w:lang w:val="fr-FR"/>
        </w:rPr>
        <w:fldChar w:fldCharType="separate"/>
      </w:r>
      <w:r w:rsidR="00386BB3" w:rsidRPr="00386BB3">
        <w:rPr>
          <w:rFonts w:ascii="Arial" w:hAnsi="Arial" w:cs="Arial"/>
          <w:sz w:val="16"/>
          <w:lang w:val="en-US"/>
        </w:rPr>
        <w:t>[1]</w:t>
      </w:r>
      <w:r w:rsidR="00386BB3" w:rsidRPr="00386BB3">
        <w:rPr>
          <w:rFonts w:ascii="Arial" w:hAnsi="Arial" w:cs="Arial"/>
          <w:sz w:val="16"/>
          <w:lang w:val="en-US"/>
        </w:rPr>
        <w:tab/>
        <w:t xml:space="preserve">N. </w:t>
      </w:r>
      <w:proofErr w:type="spellStart"/>
      <w:r w:rsidR="00386BB3" w:rsidRPr="00386BB3">
        <w:rPr>
          <w:rFonts w:ascii="Arial" w:hAnsi="Arial" w:cs="Arial"/>
          <w:sz w:val="16"/>
          <w:lang w:val="en-US"/>
        </w:rPr>
        <w:t>Jouault</w:t>
      </w:r>
      <w:proofErr w:type="spellEnd"/>
      <w:r w:rsidR="00386BB3" w:rsidRPr="00386BB3">
        <w:rPr>
          <w:rFonts w:ascii="Arial" w:hAnsi="Arial" w:cs="Arial"/>
          <w:sz w:val="16"/>
          <w:lang w:val="en-US"/>
        </w:rPr>
        <w:t xml:space="preserve">, S. K. Kumar, R. J. Smalley, C. Chi, R. Moneta, B. Wood, H. Salerno, Y. B. </w:t>
      </w:r>
      <w:proofErr w:type="spellStart"/>
      <w:r w:rsidR="00386BB3" w:rsidRPr="00386BB3">
        <w:rPr>
          <w:rFonts w:ascii="Arial" w:hAnsi="Arial" w:cs="Arial"/>
          <w:sz w:val="16"/>
          <w:lang w:val="en-US"/>
        </w:rPr>
        <w:t>Melnichenko</w:t>
      </w:r>
      <w:proofErr w:type="spellEnd"/>
      <w:r w:rsidR="00386BB3" w:rsidRPr="00386BB3">
        <w:rPr>
          <w:rFonts w:ascii="Arial" w:hAnsi="Arial" w:cs="Arial"/>
          <w:sz w:val="16"/>
          <w:lang w:val="en-US"/>
        </w:rPr>
        <w:t xml:space="preserve">, L. He, W. E. Guise, et al., </w:t>
      </w:r>
      <w:r w:rsidR="00386BB3" w:rsidRPr="00386BB3">
        <w:rPr>
          <w:rFonts w:ascii="Arial" w:hAnsi="Arial" w:cs="Arial"/>
          <w:i/>
          <w:iCs/>
          <w:sz w:val="16"/>
          <w:lang w:val="en-US"/>
        </w:rPr>
        <w:t>Macromolecules</w:t>
      </w:r>
      <w:r w:rsidR="00386BB3" w:rsidRPr="00386BB3">
        <w:rPr>
          <w:rFonts w:ascii="Arial" w:hAnsi="Arial" w:cs="Arial"/>
          <w:sz w:val="16"/>
          <w:lang w:val="en-US"/>
        </w:rPr>
        <w:t xml:space="preserve">. </w:t>
      </w:r>
      <w:r w:rsidR="00386BB3" w:rsidRPr="00386BB3">
        <w:rPr>
          <w:rFonts w:ascii="Arial" w:hAnsi="Arial" w:cs="Arial"/>
          <w:b/>
          <w:bCs/>
          <w:sz w:val="16"/>
          <w:lang w:val="en-US"/>
        </w:rPr>
        <w:t>2018</w:t>
      </w:r>
      <w:r w:rsidR="00386BB3" w:rsidRPr="00386BB3">
        <w:rPr>
          <w:rFonts w:ascii="Arial" w:hAnsi="Arial" w:cs="Arial"/>
          <w:sz w:val="16"/>
          <w:lang w:val="en-US"/>
        </w:rPr>
        <w:t xml:space="preserve">, </w:t>
      </w:r>
      <w:r w:rsidR="00386BB3" w:rsidRPr="00386BB3">
        <w:rPr>
          <w:rFonts w:ascii="Arial" w:hAnsi="Arial" w:cs="Arial"/>
          <w:i/>
          <w:iCs/>
          <w:sz w:val="16"/>
          <w:lang w:val="en-US"/>
        </w:rPr>
        <w:t>51</w:t>
      </w:r>
      <w:r w:rsidR="00386BB3" w:rsidRPr="00386BB3">
        <w:rPr>
          <w:rFonts w:ascii="Arial" w:hAnsi="Arial" w:cs="Arial"/>
          <w:sz w:val="16"/>
          <w:lang w:val="en-US"/>
        </w:rPr>
        <w:t xml:space="preserve"> (</w:t>
      </w:r>
      <w:r w:rsidR="00386BB3" w:rsidRPr="00386BB3">
        <w:rPr>
          <w:rFonts w:ascii="Arial" w:hAnsi="Arial" w:cs="Arial"/>
          <w:i/>
          <w:iCs/>
          <w:sz w:val="16"/>
          <w:lang w:val="en-US"/>
        </w:rPr>
        <w:t>14</w:t>
      </w:r>
      <w:r w:rsidR="00386BB3" w:rsidRPr="00386BB3">
        <w:rPr>
          <w:rFonts w:ascii="Arial" w:hAnsi="Arial" w:cs="Arial"/>
          <w:sz w:val="16"/>
          <w:lang w:val="en-US"/>
        </w:rPr>
        <w:t>), 5278–5293. DOI: https://doi.org/10.1021/acs.macromol.8b00432.</w:t>
      </w:r>
    </w:p>
    <w:p w14:paraId="018E1528" w14:textId="77777777" w:rsidR="00386BB3" w:rsidRPr="00386BB3" w:rsidRDefault="00386BB3" w:rsidP="00386BB3">
      <w:pPr>
        <w:pStyle w:val="Bibliographie"/>
        <w:rPr>
          <w:rFonts w:ascii="Arial" w:hAnsi="Arial" w:cs="Arial"/>
          <w:sz w:val="16"/>
          <w:lang w:val="en-US"/>
        </w:rPr>
      </w:pPr>
      <w:r w:rsidRPr="00386BB3">
        <w:rPr>
          <w:rFonts w:ascii="Arial" w:hAnsi="Arial" w:cs="Arial"/>
          <w:sz w:val="16"/>
          <w:lang w:val="en-US"/>
        </w:rPr>
        <w:t>[2]</w:t>
      </w:r>
      <w:r w:rsidRPr="00386BB3">
        <w:rPr>
          <w:rFonts w:ascii="Arial" w:hAnsi="Arial" w:cs="Arial"/>
          <w:sz w:val="16"/>
          <w:lang w:val="en-US"/>
        </w:rPr>
        <w:tab/>
        <w:t xml:space="preserve">B. Valley, B. Jing, M. Ferreira, Y. Zhu, </w:t>
      </w:r>
      <w:r w:rsidRPr="00386BB3">
        <w:rPr>
          <w:rFonts w:ascii="Arial" w:hAnsi="Arial" w:cs="Arial"/>
          <w:i/>
          <w:iCs/>
          <w:sz w:val="16"/>
          <w:lang w:val="en-US"/>
        </w:rPr>
        <w:t>ACS Appl. Mater. Interfaces</w:t>
      </w:r>
      <w:r w:rsidRPr="00386BB3">
        <w:rPr>
          <w:rFonts w:ascii="Arial" w:hAnsi="Arial" w:cs="Arial"/>
          <w:sz w:val="16"/>
          <w:lang w:val="en-US"/>
        </w:rPr>
        <w:t xml:space="preserve">. </w:t>
      </w:r>
      <w:r w:rsidRPr="00386BB3">
        <w:rPr>
          <w:rFonts w:ascii="Arial" w:hAnsi="Arial" w:cs="Arial"/>
          <w:b/>
          <w:bCs/>
          <w:sz w:val="16"/>
          <w:lang w:val="en-US"/>
        </w:rPr>
        <w:t>2019</w:t>
      </w:r>
      <w:r w:rsidRPr="00386BB3">
        <w:rPr>
          <w:rFonts w:ascii="Arial" w:hAnsi="Arial" w:cs="Arial"/>
          <w:sz w:val="16"/>
          <w:lang w:val="en-US"/>
        </w:rPr>
        <w:t xml:space="preserve">, </w:t>
      </w:r>
      <w:r w:rsidRPr="00386BB3">
        <w:rPr>
          <w:rFonts w:ascii="Arial" w:hAnsi="Arial" w:cs="Arial"/>
          <w:i/>
          <w:iCs/>
          <w:sz w:val="16"/>
          <w:lang w:val="en-US"/>
        </w:rPr>
        <w:t>11</w:t>
      </w:r>
      <w:r w:rsidRPr="00386BB3">
        <w:rPr>
          <w:rFonts w:ascii="Arial" w:hAnsi="Arial" w:cs="Arial"/>
          <w:sz w:val="16"/>
          <w:lang w:val="en-US"/>
        </w:rPr>
        <w:t xml:space="preserve"> (</w:t>
      </w:r>
      <w:r w:rsidRPr="00386BB3">
        <w:rPr>
          <w:rFonts w:ascii="Arial" w:hAnsi="Arial" w:cs="Arial"/>
          <w:i/>
          <w:iCs/>
          <w:sz w:val="16"/>
          <w:lang w:val="en-US"/>
        </w:rPr>
        <w:t>7</w:t>
      </w:r>
      <w:r w:rsidRPr="00386BB3">
        <w:rPr>
          <w:rFonts w:ascii="Arial" w:hAnsi="Arial" w:cs="Arial"/>
          <w:sz w:val="16"/>
          <w:lang w:val="en-US"/>
        </w:rPr>
        <w:t>), 7472–7478. DOI: https://doi.org/10.1021/acsami.8b21674.</w:t>
      </w:r>
    </w:p>
    <w:p w14:paraId="42CE4EE3" w14:textId="77777777" w:rsidR="00386BB3" w:rsidRPr="00386BB3" w:rsidRDefault="00386BB3" w:rsidP="00386BB3">
      <w:pPr>
        <w:pStyle w:val="Bibliographie"/>
        <w:rPr>
          <w:rFonts w:ascii="Arial" w:hAnsi="Arial" w:cs="Arial"/>
          <w:sz w:val="16"/>
          <w:lang w:val="en-US"/>
        </w:rPr>
      </w:pPr>
      <w:r w:rsidRPr="00386BB3">
        <w:rPr>
          <w:rFonts w:ascii="Arial" w:hAnsi="Arial" w:cs="Arial"/>
          <w:sz w:val="16"/>
          <w:lang w:val="en-US"/>
        </w:rPr>
        <w:t>[3]</w:t>
      </w:r>
      <w:r w:rsidRPr="00386BB3">
        <w:rPr>
          <w:rFonts w:ascii="Arial" w:hAnsi="Arial" w:cs="Arial"/>
          <w:sz w:val="16"/>
          <w:lang w:val="en-US"/>
        </w:rPr>
        <w:tab/>
        <w:t xml:space="preserve">Y. </w:t>
      </w:r>
      <w:proofErr w:type="spellStart"/>
      <w:r w:rsidRPr="00386BB3">
        <w:rPr>
          <w:rFonts w:ascii="Arial" w:hAnsi="Arial" w:cs="Arial"/>
          <w:sz w:val="16"/>
          <w:lang w:val="en-US"/>
        </w:rPr>
        <w:t>Sakhawoth</w:t>
      </w:r>
      <w:proofErr w:type="spellEnd"/>
      <w:r w:rsidRPr="00386BB3">
        <w:rPr>
          <w:rFonts w:ascii="Arial" w:hAnsi="Arial" w:cs="Arial"/>
          <w:sz w:val="16"/>
          <w:lang w:val="en-US"/>
        </w:rPr>
        <w:t xml:space="preserve">, L. </w:t>
      </w:r>
      <w:proofErr w:type="spellStart"/>
      <w:r w:rsidRPr="00386BB3">
        <w:rPr>
          <w:rFonts w:ascii="Arial" w:hAnsi="Arial" w:cs="Arial"/>
          <w:sz w:val="16"/>
          <w:lang w:val="en-US"/>
        </w:rPr>
        <w:t>Michot</w:t>
      </w:r>
      <w:proofErr w:type="spellEnd"/>
      <w:r w:rsidRPr="00386BB3">
        <w:rPr>
          <w:rFonts w:ascii="Arial" w:hAnsi="Arial" w:cs="Arial"/>
          <w:sz w:val="16"/>
          <w:lang w:val="en-US"/>
        </w:rPr>
        <w:t xml:space="preserve">, P. Levitz, A.-L. </w:t>
      </w:r>
      <w:proofErr w:type="spellStart"/>
      <w:r w:rsidRPr="00386BB3">
        <w:rPr>
          <w:rFonts w:ascii="Arial" w:hAnsi="Arial" w:cs="Arial"/>
          <w:sz w:val="16"/>
          <w:lang w:val="en-US"/>
        </w:rPr>
        <w:t>Rollet</w:t>
      </w:r>
      <w:proofErr w:type="spellEnd"/>
      <w:r w:rsidRPr="00386BB3">
        <w:rPr>
          <w:rFonts w:ascii="Arial" w:hAnsi="Arial" w:cs="Arial"/>
          <w:sz w:val="16"/>
          <w:lang w:val="en-US"/>
        </w:rPr>
        <w:t xml:space="preserve">, J. </w:t>
      </w:r>
      <w:proofErr w:type="spellStart"/>
      <w:r w:rsidRPr="00386BB3">
        <w:rPr>
          <w:rFonts w:ascii="Arial" w:hAnsi="Arial" w:cs="Arial"/>
          <w:sz w:val="16"/>
          <w:lang w:val="en-US"/>
        </w:rPr>
        <w:t>Sirieix-Plenet</w:t>
      </w:r>
      <w:proofErr w:type="spellEnd"/>
      <w:r w:rsidRPr="00386BB3">
        <w:rPr>
          <w:rFonts w:ascii="Arial" w:hAnsi="Arial" w:cs="Arial"/>
          <w:sz w:val="16"/>
          <w:lang w:val="en-US"/>
        </w:rPr>
        <w:t xml:space="preserve">, D. H. Merino, N. </w:t>
      </w:r>
      <w:proofErr w:type="spellStart"/>
      <w:r w:rsidRPr="00386BB3">
        <w:rPr>
          <w:rFonts w:ascii="Arial" w:hAnsi="Arial" w:cs="Arial"/>
          <w:sz w:val="16"/>
          <w:lang w:val="en-US"/>
        </w:rPr>
        <w:t>Malikova</w:t>
      </w:r>
      <w:proofErr w:type="spellEnd"/>
      <w:r w:rsidRPr="00386BB3">
        <w:rPr>
          <w:rFonts w:ascii="Arial" w:hAnsi="Arial" w:cs="Arial"/>
          <w:sz w:val="16"/>
          <w:lang w:val="en-US"/>
        </w:rPr>
        <w:t xml:space="preserve">, </w:t>
      </w:r>
      <w:r w:rsidRPr="00386BB3">
        <w:rPr>
          <w:rFonts w:ascii="Arial" w:hAnsi="Arial" w:cs="Arial"/>
          <w:i/>
          <w:iCs/>
          <w:sz w:val="16"/>
          <w:lang w:val="en-US"/>
        </w:rPr>
        <w:t>Langmuir</w:t>
      </w:r>
      <w:r w:rsidRPr="00386BB3">
        <w:rPr>
          <w:rFonts w:ascii="Arial" w:hAnsi="Arial" w:cs="Arial"/>
          <w:sz w:val="16"/>
          <w:lang w:val="en-US"/>
        </w:rPr>
        <w:t xml:space="preserve">. </w:t>
      </w:r>
      <w:r w:rsidRPr="00386BB3">
        <w:rPr>
          <w:rFonts w:ascii="Arial" w:hAnsi="Arial" w:cs="Arial"/>
          <w:b/>
          <w:bCs/>
          <w:sz w:val="16"/>
          <w:lang w:val="en-US"/>
        </w:rPr>
        <w:t>2019</w:t>
      </w:r>
      <w:r w:rsidRPr="00386BB3">
        <w:rPr>
          <w:rFonts w:ascii="Arial" w:hAnsi="Arial" w:cs="Arial"/>
          <w:sz w:val="16"/>
          <w:lang w:val="en-US"/>
        </w:rPr>
        <w:t xml:space="preserve">, </w:t>
      </w:r>
      <w:r w:rsidRPr="00386BB3">
        <w:rPr>
          <w:rFonts w:ascii="Arial" w:hAnsi="Arial" w:cs="Arial"/>
          <w:i/>
          <w:iCs/>
          <w:sz w:val="16"/>
          <w:lang w:val="en-US"/>
        </w:rPr>
        <w:t>35</w:t>
      </w:r>
      <w:r w:rsidRPr="00386BB3">
        <w:rPr>
          <w:rFonts w:ascii="Arial" w:hAnsi="Arial" w:cs="Arial"/>
          <w:sz w:val="16"/>
          <w:lang w:val="en-US"/>
        </w:rPr>
        <w:t xml:space="preserve"> (</w:t>
      </w:r>
      <w:r w:rsidRPr="00386BB3">
        <w:rPr>
          <w:rFonts w:ascii="Arial" w:hAnsi="Arial" w:cs="Arial"/>
          <w:i/>
          <w:iCs/>
          <w:sz w:val="16"/>
          <w:lang w:val="en-US"/>
        </w:rPr>
        <w:t>33</w:t>
      </w:r>
      <w:r w:rsidRPr="00386BB3">
        <w:rPr>
          <w:rFonts w:ascii="Arial" w:hAnsi="Arial" w:cs="Arial"/>
          <w:sz w:val="16"/>
          <w:lang w:val="en-US"/>
        </w:rPr>
        <w:t>), 10937–10946. DOI: https://doi.org/10.1021/acs.langmuir.9b00939.</w:t>
      </w:r>
    </w:p>
    <w:p w14:paraId="7FB52C82" w14:textId="77777777" w:rsidR="00386BB3" w:rsidRPr="00386BB3" w:rsidRDefault="00386BB3" w:rsidP="00386BB3">
      <w:pPr>
        <w:pStyle w:val="Bibliographie"/>
        <w:rPr>
          <w:rFonts w:ascii="Arial" w:hAnsi="Arial" w:cs="Arial"/>
          <w:sz w:val="16"/>
          <w:lang w:val="en-US"/>
        </w:rPr>
      </w:pPr>
      <w:r w:rsidRPr="00386BB3">
        <w:rPr>
          <w:rFonts w:ascii="Arial" w:hAnsi="Arial" w:cs="Arial"/>
          <w:sz w:val="16"/>
          <w:lang w:val="en-US"/>
        </w:rPr>
        <w:t>[4]</w:t>
      </w:r>
      <w:r w:rsidRPr="00386BB3">
        <w:rPr>
          <w:rFonts w:ascii="Arial" w:hAnsi="Arial" w:cs="Arial"/>
          <w:sz w:val="16"/>
          <w:lang w:val="en-US"/>
        </w:rPr>
        <w:tab/>
        <w:t xml:space="preserve">C. </w:t>
      </w:r>
      <w:proofErr w:type="spellStart"/>
      <w:r w:rsidRPr="00386BB3">
        <w:rPr>
          <w:rFonts w:ascii="Arial" w:hAnsi="Arial" w:cs="Arial"/>
          <w:sz w:val="16"/>
          <w:lang w:val="en-US"/>
        </w:rPr>
        <w:t>Hotton</w:t>
      </w:r>
      <w:proofErr w:type="spellEnd"/>
      <w:r w:rsidRPr="00386BB3">
        <w:rPr>
          <w:rFonts w:ascii="Arial" w:hAnsi="Arial" w:cs="Arial"/>
          <w:sz w:val="16"/>
          <w:lang w:val="en-US"/>
        </w:rPr>
        <w:t xml:space="preserve">, Y. </w:t>
      </w:r>
      <w:proofErr w:type="spellStart"/>
      <w:r w:rsidRPr="00386BB3">
        <w:rPr>
          <w:rFonts w:ascii="Arial" w:hAnsi="Arial" w:cs="Arial"/>
          <w:sz w:val="16"/>
          <w:lang w:val="en-US"/>
        </w:rPr>
        <w:t>Sakhawoth</w:t>
      </w:r>
      <w:proofErr w:type="spellEnd"/>
      <w:r w:rsidRPr="00386BB3">
        <w:rPr>
          <w:rFonts w:ascii="Arial" w:hAnsi="Arial" w:cs="Arial"/>
          <w:sz w:val="16"/>
          <w:lang w:val="en-US"/>
        </w:rPr>
        <w:t xml:space="preserve">, A.-L. </w:t>
      </w:r>
      <w:proofErr w:type="spellStart"/>
      <w:r w:rsidRPr="00386BB3">
        <w:rPr>
          <w:rFonts w:ascii="Arial" w:hAnsi="Arial" w:cs="Arial"/>
          <w:sz w:val="16"/>
          <w:lang w:val="en-US"/>
        </w:rPr>
        <w:t>Rollet</w:t>
      </w:r>
      <w:proofErr w:type="spellEnd"/>
      <w:r w:rsidRPr="00386BB3">
        <w:rPr>
          <w:rFonts w:ascii="Arial" w:hAnsi="Arial" w:cs="Arial"/>
          <w:sz w:val="16"/>
          <w:lang w:val="en-US"/>
        </w:rPr>
        <w:t xml:space="preserve">, J. </w:t>
      </w:r>
      <w:proofErr w:type="spellStart"/>
      <w:r w:rsidRPr="00386BB3">
        <w:rPr>
          <w:rFonts w:ascii="Arial" w:hAnsi="Arial" w:cs="Arial"/>
          <w:sz w:val="16"/>
          <w:lang w:val="en-US"/>
        </w:rPr>
        <w:t>Sirieix-Plenet</w:t>
      </w:r>
      <w:proofErr w:type="spellEnd"/>
      <w:r w:rsidRPr="00386BB3">
        <w:rPr>
          <w:rFonts w:ascii="Arial" w:hAnsi="Arial" w:cs="Arial"/>
          <w:sz w:val="16"/>
          <w:lang w:val="en-US"/>
        </w:rPr>
        <w:t xml:space="preserve">, L. Tea, S. </w:t>
      </w:r>
      <w:proofErr w:type="spellStart"/>
      <w:r w:rsidRPr="00386BB3">
        <w:rPr>
          <w:rFonts w:ascii="Arial" w:hAnsi="Arial" w:cs="Arial"/>
          <w:sz w:val="16"/>
          <w:lang w:val="en-US"/>
        </w:rPr>
        <w:t>Combet</w:t>
      </w:r>
      <w:proofErr w:type="spellEnd"/>
      <w:r w:rsidRPr="00386BB3">
        <w:rPr>
          <w:rFonts w:ascii="Arial" w:hAnsi="Arial" w:cs="Arial"/>
          <w:sz w:val="16"/>
          <w:lang w:val="en-US"/>
        </w:rPr>
        <w:t xml:space="preserve">, M. Sharp, I. Hoffmann, F. </w:t>
      </w:r>
      <w:proofErr w:type="spellStart"/>
      <w:r w:rsidRPr="00386BB3">
        <w:rPr>
          <w:rFonts w:ascii="Arial" w:hAnsi="Arial" w:cs="Arial"/>
          <w:sz w:val="16"/>
          <w:lang w:val="en-US"/>
        </w:rPr>
        <w:t>Nallet</w:t>
      </w:r>
      <w:proofErr w:type="spellEnd"/>
      <w:r w:rsidRPr="00386BB3">
        <w:rPr>
          <w:rFonts w:ascii="Arial" w:hAnsi="Arial" w:cs="Arial"/>
          <w:sz w:val="16"/>
          <w:lang w:val="en-US"/>
        </w:rPr>
        <w:t xml:space="preserve">, N. </w:t>
      </w:r>
      <w:proofErr w:type="spellStart"/>
      <w:r w:rsidRPr="00386BB3">
        <w:rPr>
          <w:rFonts w:ascii="Arial" w:hAnsi="Arial" w:cs="Arial"/>
          <w:sz w:val="16"/>
          <w:lang w:val="en-US"/>
        </w:rPr>
        <w:t>Malikova</w:t>
      </w:r>
      <w:proofErr w:type="spellEnd"/>
      <w:r w:rsidRPr="00386BB3">
        <w:rPr>
          <w:rFonts w:ascii="Arial" w:hAnsi="Arial" w:cs="Arial"/>
          <w:sz w:val="16"/>
          <w:lang w:val="en-US"/>
        </w:rPr>
        <w:t xml:space="preserve">, </w:t>
      </w:r>
      <w:r w:rsidRPr="00386BB3">
        <w:rPr>
          <w:rFonts w:ascii="Arial" w:hAnsi="Arial" w:cs="Arial"/>
          <w:b/>
          <w:bCs/>
          <w:sz w:val="16"/>
          <w:lang w:val="en-US"/>
        </w:rPr>
        <w:t>2024</w:t>
      </w:r>
      <w:r w:rsidRPr="00386BB3">
        <w:rPr>
          <w:rFonts w:ascii="Arial" w:hAnsi="Arial" w:cs="Arial"/>
          <w:sz w:val="16"/>
          <w:lang w:val="en-US"/>
        </w:rPr>
        <w:t>. DOI: https://doi.org/10.26434/chemrxiv-2024-drcrc.</w:t>
      </w:r>
    </w:p>
    <w:p w14:paraId="64797EEB" w14:textId="77777777" w:rsidR="00386BB3" w:rsidRPr="00386BB3" w:rsidRDefault="00386BB3" w:rsidP="00386BB3">
      <w:pPr>
        <w:pStyle w:val="Bibliographie"/>
        <w:rPr>
          <w:rFonts w:ascii="Arial" w:hAnsi="Arial" w:cs="Arial"/>
          <w:sz w:val="16"/>
          <w:lang w:val="en-US"/>
        </w:rPr>
      </w:pPr>
      <w:r w:rsidRPr="00386BB3">
        <w:rPr>
          <w:rFonts w:ascii="Arial" w:hAnsi="Arial" w:cs="Arial"/>
          <w:sz w:val="16"/>
          <w:lang w:val="en-US"/>
        </w:rPr>
        <w:t>[5]</w:t>
      </w:r>
      <w:r w:rsidRPr="00386BB3">
        <w:rPr>
          <w:rFonts w:ascii="Arial" w:hAnsi="Arial" w:cs="Arial"/>
          <w:sz w:val="16"/>
          <w:lang w:val="en-US"/>
        </w:rPr>
        <w:tab/>
        <w:t xml:space="preserve">N. </w:t>
      </w:r>
      <w:proofErr w:type="spellStart"/>
      <w:r w:rsidRPr="00386BB3">
        <w:rPr>
          <w:rFonts w:ascii="Arial" w:hAnsi="Arial" w:cs="Arial"/>
          <w:sz w:val="16"/>
          <w:lang w:val="en-US"/>
        </w:rPr>
        <w:t>Malikova</w:t>
      </w:r>
      <w:proofErr w:type="spellEnd"/>
      <w:r w:rsidRPr="00386BB3">
        <w:rPr>
          <w:rFonts w:ascii="Arial" w:hAnsi="Arial" w:cs="Arial"/>
          <w:sz w:val="16"/>
          <w:lang w:val="en-US"/>
        </w:rPr>
        <w:t xml:space="preserve">, A.-L. </w:t>
      </w:r>
      <w:proofErr w:type="spellStart"/>
      <w:r w:rsidRPr="00386BB3">
        <w:rPr>
          <w:rFonts w:ascii="Arial" w:hAnsi="Arial" w:cs="Arial"/>
          <w:sz w:val="16"/>
          <w:lang w:val="en-US"/>
        </w:rPr>
        <w:t>Rollet</w:t>
      </w:r>
      <w:proofErr w:type="spellEnd"/>
      <w:r w:rsidRPr="00386BB3">
        <w:rPr>
          <w:rFonts w:ascii="Arial" w:hAnsi="Arial" w:cs="Arial"/>
          <w:sz w:val="16"/>
          <w:lang w:val="en-US"/>
        </w:rPr>
        <w:t xml:space="preserve">, S. </w:t>
      </w:r>
      <w:proofErr w:type="spellStart"/>
      <w:r w:rsidRPr="00386BB3">
        <w:rPr>
          <w:rFonts w:ascii="Arial" w:hAnsi="Arial" w:cs="Arial"/>
          <w:sz w:val="16"/>
          <w:lang w:val="en-US"/>
        </w:rPr>
        <w:t>Čebašek</w:t>
      </w:r>
      <w:proofErr w:type="spellEnd"/>
      <w:r w:rsidRPr="00386BB3">
        <w:rPr>
          <w:rFonts w:ascii="Arial" w:hAnsi="Arial" w:cs="Arial"/>
          <w:sz w:val="16"/>
          <w:lang w:val="en-US"/>
        </w:rPr>
        <w:t xml:space="preserve">, M. </w:t>
      </w:r>
      <w:proofErr w:type="spellStart"/>
      <w:r w:rsidRPr="00386BB3">
        <w:rPr>
          <w:rFonts w:ascii="Arial" w:hAnsi="Arial" w:cs="Arial"/>
          <w:sz w:val="16"/>
          <w:lang w:val="en-US"/>
        </w:rPr>
        <w:t>Tomšič</w:t>
      </w:r>
      <w:proofErr w:type="spellEnd"/>
      <w:r w:rsidRPr="00386BB3">
        <w:rPr>
          <w:rFonts w:ascii="Arial" w:hAnsi="Arial" w:cs="Arial"/>
          <w:sz w:val="16"/>
          <w:lang w:val="en-US"/>
        </w:rPr>
        <w:t xml:space="preserve">, V. </w:t>
      </w:r>
      <w:proofErr w:type="spellStart"/>
      <w:r w:rsidRPr="00386BB3">
        <w:rPr>
          <w:rFonts w:ascii="Arial" w:hAnsi="Arial" w:cs="Arial"/>
          <w:sz w:val="16"/>
          <w:lang w:val="en-US"/>
        </w:rPr>
        <w:t>Vlachy</w:t>
      </w:r>
      <w:proofErr w:type="spellEnd"/>
      <w:r w:rsidRPr="00386BB3">
        <w:rPr>
          <w:rFonts w:ascii="Arial" w:hAnsi="Arial" w:cs="Arial"/>
          <w:sz w:val="16"/>
          <w:lang w:val="en-US"/>
        </w:rPr>
        <w:t xml:space="preserve">, </w:t>
      </w:r>
      <w:r w:rsidRPr="00386BB3">
        <w:rPr>
          <w:rFonts w:ascii="Arial" w:hAnsi="Arial" w:cs="Arial"/>
          <w:i/>
          <w:iCs/>
          <w:sz w:val="16"/>
          <w:lang w:val="en-US"/>
        </w:rPr>
        <w:t>Phys. Chem. Chem. Phys.</w:t>
      </w:r>
      <w:r w:rsidRPr="00386BB3">
        <w:rPr>
          <w:rFonts w:ascii="Arial" w:hAnsi="Arial" w:cs="Arial"/>
          <w:sz w:val="16"/>
          <w:lang w:val="en-US"/>
        </w:rPr>
        <w:t xml:space="preserve"> </w:t>
      </w:r>
      <w:r w:rsidRPr="00386BB3">
        <w:rPr>
          <w:rFonts w:ascii="Arial" w:hAnsi="Arial" w:cs="Arial"/>
          <w:b/>
          <w:bCs/>
          <w:sz w:val="16"/>
          <w:lang w:val="en-US"/>
        </w:rPr>
        <w:t>2015</w:t>
      </w:r>
      <w:r w:rsidRPr="00386BB3">
        <w:rPr>
          <w:rFonts w:ascii="Arial" w:hAnsi="Arial" w:cs="Arial"/>
          <w:sz w:val="16"/>
          <w:lang w:val="en-US"/>
        </w:rPr>
        <w:t xml:space="preserve">, </w:t>
      </w:r>
      <w:r w:rsidRPr="00386BB3">
        <w:rPr>
          <w:rFonts w:ascii="Arial" w:hAnsi="Arial" w:cs="Arial"/>
          <w:i/>
          <w:iCs/>
          <w:sz w:val="16"/>
          <w:lang w:val="en-US"/>
        </w:rPr>
        <w:t>17</w:t>
      </w:r>
      <w:r w:rsidRPr="00386BB3">
        <w:rPr>
          <w:rFonts w:ascii="Arial" w:hAnsi="Arial" w:cs="Arial"/>
          <w:sz w:val="16"/>
          <w:lang w:val="en-US"/>
        </w:rPr>
        <w:t xml:space="preserve"> (</w:t>
      </w:r>
      <w:r w:rsidRPr="00386BB3">
        <w:rPr>
          <w:rFonts w:ascii="Arial" w:hAnsi="Arial" w:cs="Arial"/>
          <w:i/>
          <w:iCs/>
          <w:sz w:val="16"/>
          <w:lang w:val="en-US"/>
        </w:rPr>
        <w:t>8</w:t>
      </w:r>
      <w:r w:rsidRPr="00386BB3">
        <w:rPr>
          <w:rFonts w:ascii="Arial" w:hAnsi="Arial" w:cs="Arial"/>
          <w:sz w:val="16"/>
          <w:lang w:val="en-US"/>
        </w:rPr>
        <w:t>), 5650–5658. DOI: https://doi.org/10.1039/C4CP05469E.</w:t>
      </w:r>
    </w:p>
    <w:p w14:paraId="2406FBC7" w14:textId="77777777" w:rsidR="00386BB3" w:rsidRPr="00386BB3" w:rsidRDefault="00386BB3" w:rsidP="00386BB3">
      <w:pPr>
        <w:pStyle w:val="Bibliographie"/>
        <w:rPr>
          <w:rFonts w:ascii="Arial" w:hAnsi="Arial" w:cs="Arial"/>
          <w:sz w:val="16"/>
          <w:lang w:val="en-US"/>
        </w:rPr>
      </w:pPr>
      <w:r w:rsidRPr="00386BB3">
        <w:rPr>
          <w:rFonts w:ascii="Arial" w:hAnsi="Arial" w:cs="Arial"/>
          <w:sz w:val="16"/>
          <w:lang w:val="en-US"/>
        </w:rPr>
        <w:t>[6]</w:t>
      </w:r>
      <w:r w:rsidRPr="00386BB3">
        <w:rPr>
          <w:rFonts w:ascii="Arial" w:hAnsi="Arial" w:cs="Arial"/>
          <w:sz w:val="16"/>
          <w:lang w:val="en-US"/>
        </w:rPr>
        <w:tab/>
        <w:t xml:space="preserve">L. Shi, F. </w:t>
      </w:r>
      <w:proofErr w:type="spellStart"/>
      <w:r w:rsidRPr="00386BB3">
        <w:rPr>
          <w:rFonts w:ascii="Arial" w:hAnsi="Arial" w:cs="Arial"/>
          <w:sz w:val="16"/>
          <w:lang w:val="en-US"/>
        </w:rPr>
        <w:t>Carn</w:t>
      </w:r>
      <w:proofErr w:type="spellEnd"/>
      <w:r w:rsidRPr="00386BB3">
        <w:rPr>
          <w:rFonts w:ascii="Arial" w:hAnsi="Arial" w:cs="Arial"/>
          <w:sz w:val="16"/>
          <w:lang w:val="en-US"/>
        </w:rPr>
        <w:t xml:space="preserve">, F. </w:t>
      </w:r>
      <w:proofErr w:type="spellStart"/>
      <w:r w:rsidRPr="00386BB3">
        <w:rPr>
          <w:rFonts w:ascii="Arial" w:hAnsi="Arial" w:cs="Arial"/>
          <w:sz w:val="16"/>
          <w:lang w:val="en-US"/>
        </w:rPr>
        <w:t>Boué</w:t>
      </w:r>
      <w:proofErr w:type="spellEnd"/>
      <w:r w:rsidRPr="00386BB3">
        <w:rPr>
          <w:rFonts w:ascii="Arial" w:hAnsi="Arial" w:cs="Arial"/>
          <w:sz w:val="16"/>
          <w:lang w:val="en-US"/>
        </w:rPr>
        <w:t xml:space="preserve">, E. Buhler, </w:t>
      </w:r>
      <w:r w:rsidRPr="00386BB3">
        <w:rPr>
          <w:rFonts w:ascii="Arial" w:hAnsi="Arial" w:cs="Arial"/>
          <w:i/>
          <w:iCs/>
          <w:sz w:val="16"/>
          <w:lang w:val="en-US"/>
        </w:rPr>
        <w:t>Phys. Rev. E</w:t>
      </w:r>
      <w:r w:rsidRPr="00386BB3">
        <w:rPr>
          <w:rFonts w:ascii="Arial" w:hAnsi="Arial" w:cs="Arial"/>
          <w:sz w:val="16"/>
          <w:lang w:val="en-US"/>
        </w:rPr>
        <w:t xml:space="preserve">. </w:t>
      </w:r>
      <w:r w:rsidRPr="00386BB3">
        <w:rPr>
          <w:rFonts w:ascii="Arial" w:hAnsi="Arial" w:cs="Arial"/>
          <w:b/>
          <w:bCs/>
          <w:sz w:val="16"/>
          <w:lang w:val="en-US"/>
        </w:rPr>
        <w:t>2016</w:t>
      </w:r>
      <w:r w:rsidRPr="00386BB3">
        <w:rPr>
          <w:rFonts w:ascii="Arial" w:hAnsi="Arial" w:cs="Arial"/>
          <w:sz w:val="16"/>
          <w:lang w:val="en-US"/>
        </w:rPr>
        <w:t xml:space="preserve">, </w:t>
      </w:r>
      <w:r w:rsidRPr="00386BB3">
        <w:rPr>
          <w:rFonts w:ascii="Arial" w:hAnsi="Arial" w:cs="Arial"/>
          <w:i/>
          <w:iCs/>
          <w:sz w:val="16"/>
          <w:lang w:val="en-US"/>
        </w:rPr>
        <w:t>94</w:t>
      </w:r>
      <w:r w:rsidRPr="00386BB3">
        <w:rPr>
          <w:rFonts w:ascii="Arial" w:hAnsi="Arial" w:cs="Arial"/>
          <w:sz w:val="16"/>
          <w:lang w:val="en-US"/>
        </w:rPr>
        <w:t xml:space="preserve"> (</w:t>
      </w:r>
      <w:r w:rsidRPr="00386BB3">
        <w:rPr>
          <w:rFonts w:ascii="Arial" w:hAnsi="Arial" w:cs="Arial"/>
          <w:i/>
          <w:iCs/>
          <w:sz w:val="16"/>
          <w:lang w:val="en-US"/>
        </w:rPr>
        <w:t>3</w:t>
      </w:r>
      <w:r w:rsidRPr="00386BB3">
        <w:rPr>
          <w:rFonts w:ascii="Arial" w:hAnsi="Arial" w:cs="Arial"/>
          <w:sz w:val="16"/>
          <w:lang w:val="en-US"/>
        </w:rPr>
        <w:t>), 032504. DOI: https://doi.org/10.1103/PhysRevE.94.032504.</w:t>
      </w:r>
    </w:p>
    <w:p w14:paraId="3AF5C52E" w14:textId="77777777" w:rsidR="00386BB3" w:rsidRPr="00386BB3" w:rsidRDefault="00386BB3" w:rsidP="00386BB3">
      <w:pPr>
        <w:pStyle w:val="Bibliographie"/>
        <w:rPr>
          <w:rFonts w:ascii="Arial" w:hAnsi="Arial" w:cs="Arial"/>
          <w:sz w:val="16"/>
          <w:lang w:val="en-US"/>
        </w:rPr>
      </w:pPr>
      <w:r w:rsidRPr="00386BB3">
        <w:rPr>
          <w:rFonts w:ascii="Arial" w:hAnsi="Arial" w:cs="Arial"/>
          <w:sz w:val="16"/>
          <w:lang w:val="en-US"/>
        </w:rPr>
        <w:t>[7]</w:t>
      </w:r>
      <w:r w:rsidRPr="00386BB3">
        <w:rPr>
          <w:rFonts w:ascii="Arial" w:hAnsi="Arial" w:cs="Arial"/>
          <w:sz w:val="16"/>
          <w:lang w:val="en-US"/>
        </w:rPr>
        <w:tab/>
        <w:t xml:space="preserve">M. Ferreira, B. Jing, A. </w:t>
      </w:r>
      <w:proofErr w:type="spellStart"/>
      <w:r w:rsidRPr="00386BB3">
        <w:rPr>
          <w:rFonts w:ascii="Arial" w:hAnsi="Arial" w:cs="Arial"/>
          <w:sz w:val="16"/>
          <w:lang w:val="en-US"/>
        </w:rPr>
        <w:t>Lorenzana</w:t>
      </w:r>
      <w:proofErr w:type="spellEnd"/>
      <w:r w:rsidRPr="00386BB3">
        <w:rPr>
          <w:rFonts w:ascii="Arial" w:hAnsi="Arial" w:cs="Arial"/>
          <w:sz w:val="16"/>
          <w:lang w:val="en-US"/>
        </w:rPr>
        <w:t xml:space="preserve">, Y. Zhu, </w:t>
      </w:r>
      <w:r w:rsidRPr="00386BB3">
        <w:rPr>
          <w:rFonts w:ascii="Arial" w:hAnsi="Arial" w:cs="Arial"/>
          <w:i/>
          <w:iCs/>
          <w:sz w:val="16"/>
          <w:lang w:val="en-US"/>
        </w:rPr>
        <w:t>Soft Matter</w:t>
      </w:r>
      <w:r w:rsidRPr="00386BB3">
        <w:rPr>
          <w:rFonts w:ascii="Arial" w:hAnsi="Arial" w:cs="Arial"/>
          <w:sz w:val="16"/>
          <w:lang w:val="en-US"/>
        </w:rPr>
        <w:t xml:space="preserve">. </w:t>
      </w:r>
      <w:r w:rsidRPr="00386BB3">
        <w:rPr>
          <w:rFonts w:ascii="Arial" w:hAnsi="Arial" w:cs="Arial"/>
          <w:b/>
          <w:bCs/>
          <w:sz w:val="16"/>
          <w:lang w:val="en-US"/>
        </w:rPr>
        <w:t>2020</w:t>
      </w:r>
      <w:r w:rsidRPr="00386BB3">
        <w:rPr>
          <w:rFonts w:ascii="Arial" w:hAnsi="Arial" w:cs="Arial"/>
          <w:sz w:val="16"/>
          <w:lang w:val="en-US"/>
        </w:rPr>
        <w:t xml:space="preserve">, </w:t>
      </w:r>
      <w:r w:rsidRPr="00386BB3">
        <w:rPr>
          <w:rFonts w:ascii="Arial" w:hAnsi="Arial" w:cs="Arial"/>
          <w:i/>
          <w:iCs/>
          <w:sz w:val="16"/>
          <w:lang w:val="en-US"/>
        </w:rPr>
        <w:t>16</w:t>
      </w:r>
      <w:r w:rsidRPr="00386BB3">
        <w:rPr>
          <w:rFonts w:ascii="Arial" w:hAnsi="Arial" w:cs="Arial"/>
          <w:sz w:val="16"/>
          <w:lang w:val="en-US"/>
        </w:rPr>
        <w:t xml:space="preserve"> (</w:t>
      </w:r>
      <w:r w:rsidRPr="00386BB3">
        <w:rPr>
          <w:rFonts w:ascii="Arial" w:hAnsi="Arial" w:cs="Arial"/>
          <w:i/>
          <w:iCs/>
          <w:sz w:val="16"/>
          <w:lang w:val="en-US"/>
        </w:rPr>
        <w:t>45</w:t>
      </w:r>
      <w:r w:rsidRPr="00386BB3">
        <w:rPr>
          <w:rFonts w:ascii="Arial" w:hAnsi="Arial" w:cs="Arial"/>
          <w:sz w:val="16"/>
          <w:lang w:val="en-US"/>
        </w:rPr>
        <w:t>), 10280–10289. DOI: https://doi.org/10.1039/D0SM01565B.</w:t>
      </w:r>
    </w:p>
    <w:p w14:paraId="019A3EEC" w14:textId="77777777" w:rsidR="00386BB3" w:rsidRPr="00386BB3" w:rsidRDefault="00386BB3" w:rsidP="00386BB3">
      <w:pPr>
        <w:pStyle w:val="Bibliographie"/>
        <w:rPr>
          <w:rFonts w:ascii="Arial" w:hAnsi="Arial" w:cs="Arial"/>
          <w:sz w:val="16"/>
          <w:lang w:val="en-US"/>
        </w:rPr>
      </w:pPr>
      <w:r w:rsidRPr="00386BB3">
        <w:rPr>
          <w:rFonts w:ascii="Arial" w:hAnsi="Arial" w:cs="Arial"/>
          <w:sz w:val="16"/>
          <w:lang w:val="en-US"/>
        </w:rPr>
        <w:t>[8]</w:t>
      </w:r>
      <w:r w:rsidRPr="00386BB3">
        <w:rPr>
          <w:rFonts w:ascii="Arial" w:hAnsi="Arial" w:cs="Arial"/>
          <w:sz w:val="16"/>
          <w:lang w:val="en-US"/>
        </w:rPr>
        <w:tab/>
        <w:t xml:space="preserve">R. </w:t>
      </w:r>
      <w:proofErr w:type="spellStart"/>
      <w:r w:rsidRPr="00386BB3">
        <w:rPr>
          <w:rFonts w:ascii="Arial" w:hAnsi="Arial" w:cs="Arial"/>
          <w:sz w:val="16"/>
          <w:lang w:val="en-US"/>
        </w:rPr>
        <w:t>Sheparovych</w:t>
      </w:r>
      <w:proofErr w:type="spellEnd"/>
      <w:r w:rsidRPr="00386BB3">
        <w:rPr>
          <w:rFonts w:ascii="Arial" w:hAnsi="Arial" w:cs="Arial"/>
          <w:sz w:val="16"/>
          <w:lang w:val="en-US"/>
        </w:rPr>
        <w:t xml:space="preserve">, Y. Sahoo, M. </w:t>
      </w:r>
      <w:proofErr w:type="spellStart"/>
      <w:r w:rsidRPr="00386BB3">
        <w:rPr>
          <w:rFonts w:ascii="Arial" w:hAnsi="Arial" w:cs="Arial"/>
          <w:sz w:val="16"/>
          <w:lang w:val="en-US"/>
        </w:rPr>
        <w:t>Motornov</w:t>
      </w:r>
      <w:proofErr w:type="spellEnd"/>
      <w:r w:rsidRPr="00386BB3">
        <w:rPr>
          <w:rFonts w:ascii="Arial" w:hAnsi="Arial" w:cs="Arial"/>
          <w:sz w:val="16"/>
          <w:lang w:val="en-US"/>
        </w:rPr>
        <w:t xml:space="preserve">, S. Wang, H. Luo, P. N. Prasad, I. Sokolov, S. </w:t>
      </w:r>
      <w:proofErr w:type="spellStart"/>
      <w:r w:rsidRPr="00386BB3">
        <w:rPr>
          <w:rFonts w:ascii="Arial" w:hAnsi="Arial" w:cs="Arial"/>
          <w:sz w:val="16"/>
          <w:lang w:val="en-US"/>
        </w:rPr>
        <w:t>Minko</w:t>
      </w:r>
      <w:proofErr w:type="spellEnd"/>
      <w:r w:rsidRPr="00386BB3">
        <w:rPr>
          <w:rFonts w:ascii="Arial" w:hAnsi="Arial" w:cs="Arial"/>
          <w:sz w:val="16"/>
          <w:lang w:val="en-US"/>
        </w:rPr>
        <w:t xml:space="preserve">, </w:t>
      </w:r>
      <w:r w:rsidRPr="00386BB3">
        <w:rPr>
          <w:rFonts w:ascii="Arial" w:hAnsi="Arial" w:cs="Arial"/>
          <w:i/>
          <w:iCs/>
          <w:sz w:val="16"/>
          <w:lang w:val="en-US"/>
        </w:rPr>
        <w:t>Chem. Mater.</w:t>
      </w:r>
      <w:r w:rsidRPr="00386BB3">
        <w:rPr>
          <w:rFonts w:ascii="Arial" w:hAnsi="Arial" w:cs="Arial"/>
          <w:sz w:val="16"/>
          <w:lang w:val="en-US"/>
        </w:rPr>
        <w:t xml:space="preserve"> </w:t>
      </w:r>
      <w:r w:rsidRPr="00386BB3">
        <w:rPr>
          <w:rFonts w:ascii="Arial" w:hAnsi="Arial" w:cs="Arial"/>
          <w:b/>
          <w:bCs/>
          <w:sz w:val="16"/>
          <w:lang w:val="en-US"/>
        </w:rPr>
        <w:t>2006</w:t>
      </w:r>
      <w:r w:rsidRPr="00386BB3">
        <w:rPr>
          <w:rFonts w:ascii="Arial" w:hAnsi="Arial" w:cs="Arial"/>
          <w:sz w:val="16"/>
          <w:lang w:val="en-US"/>
        </w:rPr>
        <w:t xml:space="preserve">, </w:t>
      </w:r>
      <w:r w:rsidRPr="00386BB3">
        <w:rPr>
          <w:rFonts w:ascii="Arial" w:hAnsi="Arial" w:cs="Arial"/>
          <w:i/>
          <w:iCs/>
          <w:sz w:val="16"/>
          <w:lang w:val="en-US"/>
        </w:rPr>
        <w:t>18</w:t>
      </w:r>
      <w:r w:rsidRPr="00386BB3">
        <w:rPr>
          <w:rFonts w:ascii="Arial" w:hAnsi="Arial" w:cs="Arial"/>
          <w:sz w:val="16"/>
          <w:lang w:val="en-US"/>
        </w:rPr>
        <w:t xml:space="preserve"> (</w:t>
      </w:r>
      <w:r w:rsidRPr="00386BB3">
        <w:rPr>
          <w:rFonts w:ascii="Arial" w:hAnsi="Arial" w:cs="Arial"/>
          <w:i/>
          <w:iCs/>
          <w:sz w:val="16"/>
          <w:lang w:val="en-US"/>
        </w:rPr>
        <w:t>3</w:t>
      </w:r>
      <w:r w:rsidRPr="00386BB3">
        <w:rPr>
          <w:rFonts w:ascii="Arial" w:hAnsi="Arial" w:cs="Arial"/>
          <w:sz w:val="16"/>
          <w:lang w:val="en-US"/>
        </w:rPr>
        <w:t>), 591–593. DOI: https://doi.org/10.1021/cm051274u.</w:t>
      </w:r>
    </w:p>
    <w:p w14:paraId="156C829C" w14:textId="77777777" w:rsidR="00386BB3" w:rsidRPr="00386BB3" w:rsidRDefault="00386BB3" w:rsidP="00386BB3">
      <w:pPr>
        <w:pStyle w:val="Bibliographie"/>
        <w:rPr>
          <w:rFonts w:ascii="Arial" w:hAnsi="Arial" w:cs="Arial"/>
          <w:sz w:val="16"/>
          <w:lang w:val="fr-FR"/>
        </w:rPr>
      </w:pPr>
      <w:r w:rsidRPr="00386BB3">
        <w:rPr>
          <w:rFonts w:ascii="Arial" w:hAnsi="Arial" w:cs="Arial"/>
          <w:sz w:val="16"/>
          <w:lang w:val="en-US"/>
        </w:rPr>
        <w:t>[9]</w:t>
      </w:r>
      <w:r w:rsidRPr="00386BB3">
        <w:rPr>
          <w:rFonts w:ascii="Arial" w:hAnsi="Arial" w:cs="Arial"/>
          <w:sz w:val="16"/>
          <w:lang w:val="en-US"/>
        </w:rPr>
        <w:tab/>
        <w:t xml:space="preserve">M. </w:t>
      </w:r>
      <w:proofErr w:type="spellStart"/>
      <w:r w:rsidRPr="00386BB3">
        <w:rPr>
          <w:rFonts w:ascii="Arial" w:hAnsi="Arial" w:cs="Arial"/>
          <w:sz w:val="16"/>
          <w:lang w:val="en-US"/>
        </w:rPr>
        <w:t>Sedlák</w:t>
      </w:r>
      <w:proofErr w:type="spellEnd"/>
      <w:r w:rsidRPr="00386BB3">
        <w:rPr>
          <w:rFonts w:ascii="Arial" w:hAnsi="Arial" w:cs="Arial"/>
          <w:sz w:val="16"/>
          <w:lang w:val="en-US"/>
        </w:rPr>
        <w:t xml:space="preserve">, </w:t>
      </w:r>
      <w:r w:rsidRPr="00386BB3">
        <w:rPr>
          <w:rFonts w:ascii="Arial" w:hAnsi="Arial" w:cs="Arial"/>
          <w:i/>
          <w:iCs/>
          <w:sz w:val="16"/>
          <w:lang w:val="en-US"/>
        </w:rPr>
        <w:t>The Journal of Chemical Physics</w:t>
      </w:r>
      <w:r w:rsidRPr="00386BB3">
        <w:rPr>
          <w:rFonts w:ascii="Arial" w:hAnsi="Arial" w:cs="Arial"/>
          <w:sz w:val="16"/>
          <w:lang w:val="en-US"/>
        </w:rPr>
        <w:t xml:space="preserve">. </w:t>
      </w:r>
      <w:r w:rsidRPr="00386BB3">
        <w:rPr>
          <w:rFonts w:ascii="Arial" w:hAnsi="Arial" w:cs="Arial"/>
          <w:b/>
          <w:bCs/>
          <w:sz w:val="16"/>
          <w:lang w:val="fr-FR"/>
        </w:rPr>
        <w:t>1996</w:t>
      </w:r>
      <w:r w:rsidRPr="00386BB3">
        <w:rPr>
          <w:rFonts w:ascii="Arial" w:hAnsi="Arial" w:cs="Arial"/>
          <w:sz w:val="16"/>
          <w:lang w:val="fr-FR"/>
        </w:rPr>
        <w:t xml:space="preserve">, </w:t>
      </w:r>
      <w:r w:rsidRPr="00386BB3">
        <w:rPr>
          <w:rFonts w:ascii="Arial" w:hAnsi="Arial" w:cs="Arial"/>
          <w:i/>
          <w:iCs/>
          <w:sz w:val="16"/>
          <w:lang w:val="fr-FR"/>
        </w:rPr>
        <w:t>105</w:t>
      </w:r>
      <w:r w:rsidRPr="00386BB3">
        <w:rPr>
          <w:rFonts w:ascii="Arial" w:hAnsi="Arial" w:cs="Arial"/>
          <w:sz w:val="16"/>
          <w:lang w:val="fr-FR"/>
        </w:rPr>
        <w:t xml:space="preserve"> (</w:t>
      </w:r>
      <w:r w:rsidRPr="00386BB3">
        <w:rPr>
          <w:rFonts w:ascii="Arial" w:hAnsi="Arial" w:cs="Arial"/>
          <w:i/>
          <w:iCs/>
          <w:sz w:val="16"/>
          <w:lang w:val="fr-FR"/>
        </w:rPr>
        <w:t>22</w:t>
      </w:r>
      <w:r w:rsidRPr="00386BB3">
        <w:rPr>
          <w:rFonts w:ascii="Arial" w:hAnsi="Arial" w:cs="Arial"/>
          <w:sz w:val="16"/>
          <w:lang w:val="fr-FR"/>
        </w:rPr>
        <w:t xml:space="preserve">), 10123–10133. </w:t>
      </w:r>
      <w:proofErr w:type="gramStart"/>
      <w:r w:rsidRPr="00386BB3">
        <w:rPr>
          <w:rFonts w:ascii="Arial" w:hAnsi="Arial" w:cs="Arial"/>
          <w:sz w:val="16"/>
          <w:lang w:val="fr-FR"/>
        </w:rPr>
        <w:t>DOI:</w:t>
      </w:r>
      <w:proofErr w:type="gramEnd"/>
      <w:r w:rsidRPr="00386BB3">
        <w:rPr>
          <w:rFonts w:ascii="Arial" w:hAnsi="Arial" w:cs="Arial"/>
          <w:sz w:val="16"/>
          <w:lang w:val="fr-FR"/>
        </w:rPr>
        <w:t xml:space="preserve"> https://doi.org/10.1063/1.472841.</w:t>
      </w:r>
    </w:p>
    <w:p w14:paraId="347DF415" w14:textId="7EDB47DA" w:rsidR="00F3397E" w:rsidRPr="00335373" w:rsidRDefault="00F3397E" w:rsidP="00386BB3">
      <w:pPr>
        <w:pStyle w:val="Bibliographie"/>
        <w:rPr>
          <w:rFonts w:ascii="Times New Roman" w:hAnsi="Times New Roman" w:cs="Times New Roman"/>
          <w:color w:val="000000"/>
          <w:kern w:val="0"/>
          <w:lang w:val="en-US"/>
        </w:rPr>
      </w:pPr>
      <w:r w:rsidRPr="005855B5">
        <w:rPr>
          <w:rFonts w:ascii="Arial" w:hAnsi="Arial" w:cs="Arial"/>
          <w:sz w:val="16"/>
          <w:szCs w:val="16"/>
          <w:lang w:val="fr-FR"/>
        </w:rPr>
        <w:fldChar w:fldCharType="end"/>
      </w:r>
    </w:p>
    <w:p w14:paraId="3740E3E2" w14:textId="77777777" w:rsidR="005855B5" w:rsidRDefault="005855B5" w:rsidP="005F3E4F">
      <w:pPr>
        <w:autoSpaceDE w:val="0"/>
        <w:autoSpaceDN w:val="0"/>
        <w:adjustRightInd w:val="0"/>
        <w:jc w:val="both"/>
        <w:rPr>
          <w:rFonts w:ascii="Times New Roman" w:hAnsi="Times New Roman" w:cs="Times New Roman"/>
          <w:color w:val="000000"/>
          <w:kern w:val="0"/>
          <w:lang w:val="en-US"/>
        </w:rPr>
      </w:pPr>
    </w:p>
    <w:p w14:paraId="4BF1EF62" w14:textId="4675FB92" w:rsidR="005F3E4F" w:rsidRPr="00335373" w:rsidRDefault="005F3E4F" w:rsidP="005F3E4F">
      <w:pPr>
        <w:autoSpaceDE w:val="0"/>
        <w:autoSpaceDN w:val="0"/>
        <w:adjustRightInd w:val="0"/>
        <w:jc w:val="both"/>
        <w:rPr>
          <w:rFonts w:ascii="Times New Roman" w:hAnsi="Times New Roman" w:cs="Times New Roman"/>
          <w:color w:val="000000"/>
          <w:kern w:val="0"/>
          <w:lang w:val="en-US"/>
        </w:rPr>
      </w:pPr>
      <w:r w:rsidRPr="00335373">
        <w:rPr>
          <w:rFonts w:ascii="Times New Roman" w:hAnsi="Times New Roman" w:cs="Times New Roman"/>
          <w:color w:val="000000"/>
          <w:kern w:val="0"/>
          <w:lang w:val="en-US"/>
        </w:rPr>
        <w:t>E-mail of the corresponding author:</w:t>
      </w:r>
      <w:r w:rsidR="005855B5">
        <w:rPr>
          <w:rFonts w:ascii="Times New Roman" w:hAnsi="Times New Roman" w:cs="Times New Roman"/>
          <w:color w:val="000000"/>
          <w:kern w:val="0"/>
          <w:lang w:val="en-US"/>
        </w:rPr>
        <w:t xml:space="preserve"> gaelle.livolant@sorbonne-universite.fr</w:t>
      </w:r>
    </w:p>
    <w:p w14:paraId="537464D0" w14:textId="69AD1A39" w:rsidR="00DE1092" w:rsidRPr="00335373" w:rsidRDefault="00DE1092">
      <w:pPr>
        <w:rPr>
          <w:lang w:val="en-US"/>
        </w:rPr>
      </w:pPr>
    </w:p>
    <w:sectPr w:rsidR="00DE1092" w:rsidRPr="00335373" w:rsidSect="00974705">
      <w:pgSz w:w="12240" w:h="15840"/>
      <w:pgMar w:top="1417" w:right="1417"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73"/>
    <w:rsid w:val="000F4A90"/>
    <w:rsid w:val="00124957"/>
    <w:rsid w:val="001B58F6"/>
    <w:rsid w:val="00335373"/>
    <w:rsid w:val="00386BB3"/>
    <w:rsid w:val="005855B5"/>
    <w:rsid w:val="005F3E4F"/>
    <w:rsid w:val="007E43A8"/>
    <w:rsid w:val="00824959"/>
    <w:rsid w:val="00864495"/>
    <w:rsid w:val="008913D5"/>
    <w:rsid w:val="00A14D48"/>
    <w:rsid w:val="00BD62AD"/>
    <w:rsid w:val="00BE1151"/>
    <w:rsid w:val="00DB0375"/>
    <w:rsid w:val="00DC321E"/>
    <w:rsid w:val="00DE1092"/>
    <w:rsid w:val="00EB042E"/>
    <w:rsid w:val="00EB40A4"/>
    <w:rsid w:val="00F3397E"/>
    <w:rsid w:val="00F60B8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94C5B05"/>
  <w15:chartTrackingRefBased/>
  <w15:docId w15:val="{6CE7851A-960C-A947-A071-D43BC7B5C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Bibliographie">
    <w:name w:val="Bibliography"/>
    <w:basedOn w:val="Normal"/>
    <w:next w:val="Normal"/>
    <w:uiPriority w:val="37"/>
    <w:unhideWhenUsed/>
    <w:rsid w:val="00F3397E"/>
    <w:pPr>
      <w:tabs>
        <w:tab w:val="left" w:pos="380"/>
      </w:tabs>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4876</Words>
  <Characters>26820</Characters>
  <Application>Microsoft Office Word</Application>
  <DocSecurity>0</DocSecurity>
  <Lines>223</Lines>
  <Paragraphs>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Pasini</dc:creator>
  <cp:keywords/>
  <dc:description/>
  <cp:lastModifiedBy>Gaëlle_Livolant </cp:lastModifiedBy>
  <cp:revision>7</cp:revision>
  <dcterms:created xsi:type="dcterms:W3CDTF">2026-05-20T09:08:00Z</dcterms:created>
  <dcterms:modified xsi:type="dcterms:W3CDTF">2026-05-20T12:07:00Z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zotero-version="9.0.3"&gt;&lt;session id="7fK8x6db"/&gt;&lt;style id="http://www.zotero.org/styles/chemical-engineering-technology" hasBibliography="1" bibliographyStyleHasBeenSet="1"/&gt;&lt;prefs&gt;&lt;pref name="fieldType" value="Field"/&gt;&lt;/prefs&gt;&lt;/data</vt:lpwstr>
  </property>
  <property fmtid="{D5CDD505-2E9C-101B-9397-08002B2CF9AE}" pid="3" name="ZOTERO_PREF_2">
    <vt:lpwstr>&gt;</vt:lpwstr>
  </property>
</Properties>
</file>